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JTAPI/793/2025 vom 22. Juli 2025</w:t>
      </w:r>
    </w:p>
    <w:p>
      <w:r>
        <w:t>GE Cour de justice, 2025-07-22, FR</w:t>
      </w:r>
    </w:p>
    <w:p>
      <w:r>
        <w:rPr>
          <w:b/>
        </w:rPr>
        <w:t xml:space="preserve">Quelle: </w:t>
      </w:r>
      <w:r>
        <w:t>https://mcp.opencaselaw.ch/entscheid/ge_gerichte_JTAPI_793_2025</w:t>
      </w:r>
    </w:p>
    <w:p>
      <w:r>
        <w:t>FR: GE_GERICHTE JTAPI/793/2025 du 22 juillet 2025</w:t>
      </w:r>
    </w:p>
    <w:p>
      <w:r>
        <w:t>IT: GE_GERICHTE JTAPI/793/2025 del 22 luglio 2025</w:t>
      </w:r>
    </w:p>
    <w:p>
      <w:pPr>
        <w:pStyle w:val="Heading2"/>
      </w:pPr>
      <w:r>
        <w:t>Erwägungen</w:t>
      </w:r>
    </w:p>
    <w:p>
      <w:r>
        <w:rPr>
          <w:b/>
        </w:rPr>
        <w:t>E. 1</w:t>
      </w:r>
    </w:p>
    <w:p>
      <w:r>
        <w:t>Le Tribunal administratif de première instance connaît des recours dirigés, comme en l’espèce, contre les décisions prises par le département (art. 115 et 116 de la loi sur l’organisation judiciaire du 26 septembre 2010 - LOJ - E 2 05 ; art. 143 et 145 de la loi sur les constructions et installations diverses du 14 avril 1988 - LCI - L 5 05).</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t>- 3/5 - A/1917/2025</w:t>
      </w:r>
    </w:p>
    <w:p>
      <w:r>
        <w:rPr>
          <w:b/>
        </w:rPr>
        <w:t>E. 3</w:t>
      </w:r>
    </w:p>
    <w:p>
      <w:r>
        <w:t>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 pendant un délai plus long que sept jours, en raison notamment d'un ordre donné en ce sens par le destinataire (ATF 141 II 429 consid. 3.1 ; arrêt du Tribunal fédéral 2C_183/2022 du 31 mai 2022 consid. 3.1). La fiction légale n’est pas non plus influencée par un délai de garde supérieur fixé par la Poste suisse (ATF 127 I 31 consid. 2b = JdT 2001 I 727) ou étrangère (arrêt du Tribunal fédéral 9C_657/2008 du 9 décembre 2008 consid. 2.2). Il en va de la sécurité du droit, de l’égalité de traitement et de la prévention des abus (arrêt du Tribunal fédéral 1B_165/2019 du 16 avril 2019 consid. 2).</w:t>
      </w:r>
    </w:p>
    <w:p>
      <w:r>
        <w:rPr>
          <w:b/>
        </w:rPr>
        <w:t>E. 4</w:t>
      </w:r>
    </w:p>
    <w:p>
      <w:r>
        <w:t>Les actes du représentant sont opposables au représenté comme les siens propres ; ce principe vaut également en droit public (arrêt du Tribunal fédéral 2C_280/2013 du 6 avril 2013 ; ATA/159/2021 du 9 février 2021 consid. 7d ; ATA/1127/2020 du 10 novembre 2020 consid. 4c ; ATA/224/2020 du 25 février 2020 consid. 3b).</w:t>
      </w:r>
    </w:p>
    <w:p>
      <w:r>
        <w:rPr>
          <w:b/>
        </w:rPr>
        <w:t>E. 5</w:t>
      </w:r>
    </w:p>
    <w:p>
      <w:r>
        <w:t>En l’espèce, la demande de paiement de l’avance de frais a été correctement acheminée, par courrier recommandé du 3 juin 2025, à l’adresse du conseil des recourants, qui correspondait par ailleurs à celle indiquée dans l’acte de recours, et elle a été reçue le 4 juin 2025 par ce dernier, ainsi que cela ressort du relevé « Track &amp; Trace ». Le compte des services financiers du Pouvoir judiciaire a été crédité le</w:t>
      </w:r>
    </w:p>
    <w:p>
      <w:r>
        <w:rPr>
          <w:b/>
        </w:rPr>
        <w:t>E. 7</w:t>
      </w:r>
    </w:p>
    <w:p>
      <w:r>
        <w:t>Vu l’issue du recours, un émolument de CHF 250.- sera mis à la charge des recourants, pris conjointement et solidairement, (art. 87 al. 1 LPA et 1 et 2 du règlement sur les frais, émoluments et indemnités en procédure administrative du 30 juillet 1986 - RFPA - E 5 10.03). Le solde de l’avance de frais de CHF 650.- leur sera restitué.</w:t>
      </w:r>
    </w:p>
    <w:p>
      <w:r>
        <w:t>- 5/5 - A/1917/2025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