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JTAPI/792/2024 vom 19. August 2024</w:t>
      </w:r>
    </w:p>
    <w:p>
      <w:r>
        <w:t>GE Cour de justice, 2024-08-19, FR</w:t>
      </w:r>
    </w:p>
    <w:p>
      <w:r>
        <w:rPr>
          <w:b/>
        </w:rPr>
        <w:t xml:space="preserve">Quelle: </w:t>
      </w:r>
      <w:r>
        <w:t>https://mcp.opencaselaw.ch/entscheid/ge_gerichte_JTAPI_792_2024</w:t>
      </w:r>
    </w:p>
    <w:p>
      <w:r>
        <w:t>FR: GE_GERICHTE JTAPI/792/2024 du 19 août 2024</w:t>
      </w:r>
    </w:p>
    <w:p>
      <w:r>
        <w:t>IT: GE_GERICHTE JTAPI/792/2024 del 19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- 5/8 - A/231/2024</w:t>
      </w:r>
    </w:p>
    <w:p>
      <w:r>
        <w:rPr>
          <w:b/>
        </w:rPr>
        <w:t>E. 2</w:t>
      </w:r>
    </w:p>
    <w:p>
      <w:r>
        <w:t>Interjeté en temps utile et dans les formes prescrites devant la juridiction compétente, le recours est recevable au sens des art. 49 LPFisc et 140 LIFD.</w:t>
      </w:r>
    </w:p>
    <w:p>
      <w:r>
        <w:rPr>
          <w:b/>
        </w:rPr>
        <w:t>E. 3</w:t>
      </w:r>
    </w:p>
    <w:p>
      <w:r>
        <w:t>Les recourants contestent l’estimation de la participation qu’ils détiennent dans la société C______, telle qu’effectuée par l’AFC-GE.</w:t>
      </w:r>
    </w:p>
    <w:p>
      <w:r>
        <w:rPr>
          <w:b/>
        </w:rPr>
        <w:t>E. 4</w:t>
      </w:r>
    </w:p>
    <w:p>
      <w:r>
        <w:t>Sont notamment soumis à l'impôt sur la fortune les immeubles, les actions, les obligations, les valeurs mobilières de toute nature et les créances hypothécaires et chirographaires (art. 47 let. a et b de la loi sur l'imposition des personnes physiques du 27 septembre 2009 - LIPP - D 3 08).</w:t>
      </w:r>
    </w:p>
    <w:p>
      <w:r>
        <w:rPr>
          <w:b/>
        </w:rPr>
        <w:t>E. 5</w:t>
      </w:r>
    </w:p>
    <w:p>
      <w:r>
        <w:t>La circulaire n° 28 – qui a rencontré l’approbation du Tribunal fédéral (arrêt 2C_632/2018 du 29 août 2019) – a pour objectif l'estimation uniforme en Suisse, pour l'impôt sur la fortune, des titres nationaux et étrangers qui ne sont négociés dans aucune bourse. Elle sert à l'harmonisation fiscale intercantonale (ch. 1 al. 1). La fortune est estimée en principe à la valeur vénale (art. 14 al. 1 LHID). Par valeur vénale, on entend le prix que l'on peut obtenir d'un bien dans des circonstances normales (ch. 1 al. 3).</w:t>
      </w:r>
    </w:p>
    <w:p>
      <w:r>
        <w:rPr>
          <w:b/>
        </w:rPr>
        <w:t>E. 6</w:t>
      </w:r>
    </w:p>
    <w:p>
      <w:r>
        <w:t>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w:t>
      </w:r>
    </w:p>
    <w:p>
      <w:r>
        <w:rPr>
          <w:b/>
        </w:rPr>
        <w:t>E. 7</w:t>
      </w:r>
    </w:p>
    <w:p>
      <w:r>
        <w:t>Les titres d’une société holding pure sont estimés selon la valeur substantielle de la société (ch. 38). Les titres et participations détenus par la société sont estimés selon les ch. 23 et 24 (ch. 39).</w:t>
      </w:r>
    </w:p>
    <w:p>
      <w:r>
        <w:t>Les titres et participations cotés en bourse doivent figurer au cours de clôture du dernier jour de bourse de la période fiscale correspondante (ch. 23 al. 1). Les titres et participations non cotés sont estimés selon la circulaire n° 28, mais au minimum à leur valeur comptable. On peut s'écarter de cette règle dans des cas justifiés (ch. 24 al. 1).</w:t>
      </w:r>
    </w:p>
    <w:p>
      <w:r>
        <w:t>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w:t>
      </w:r>
    </w:p>
    <w:p>
      <w:r>
        <w:rPr>
          <w:b/>
        </w:rPr>
        <w:t>E. 8</w:t>
      </w:r>
    </w:p>
    <w:p>
      <w:r>
        <w:t>La valeur substantielle de l’entreprise se détermine comme suit : Le ch. 11 prévoit que l'appréciation de la valeur substantielle se base sur les comptes annuels (n) (al. 1). Si la société estimée ne clôture pas son exercice commercial à la fin de l'année civile et qu’un dividende est distribué entre la clôture des comptes (n)</w:t>
      </w:r>
    </w:p>
    <w:p>
      <w:r>
        <w:t>- 6/8 - A/231/2024 et le 31 décembre (n), ce dividende doit par conséquent être déduit de la valeur substantielle (al. 2). Les actifs et passifs doivent être pris en considération dans leur intégralité (ch. 12). Seul le capital social versé est pris en considération pour l'estimation (ch. 13). Enfin,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w:t>
      </w:r>
    </w:p>
    <w:p>
      <w:r>
        <w:rPr>
          <w:b/>
        </w:rPr>
        <w:t>E. 9</w:t>
      </w:r>
    </w:p>
    <w:p>
      <w:r>
        <w:t>Les contrats de droit privé, comme les conventions d'actionnaires qui restreignent la transmissibilité des titres, restent sans influence sur l'estimation de ceux-ci (chap. A/2, ch. 4 de la circulaire), tout comme les engagements que les parties prennent volontairement (Commentaire de la circulaire p. 6).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fiscale peut prendre en considération cette situation par une pondération simple de la valeur de rendement, c’est-à-dire non doublée, et de la valeur de substance (commentaire, p. 16 ss ; arrêt du Tribunal fédéral 2C_866/2019 du 27 août 2020 consid. 4.5).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w:t>
      </w:r>
    </w:p>
    <w:p>
      <w:r>
        <w:rPr>
          <w:b/>
        </w:rPr>
        <w:t>E. 10</w:t>
      </w:r>
    </w:p>
    <w:p>
      <w:r>
        <w:t>Selon la jurisprudence, l’estimation des titres d’une société holding non cotée en bourse s’effectue en fonction de la valeur de ses filiales, elle-même calculée d’après la circulaire n° 28 (JTAPI/1100/2021 du 1er novembre 2021).</w:t>
      </w:r>
    </w:p>
    <w:p>
      <w:r>
        <w:rPr>
          <w:b/>
        </w:rPr>
        <w:t>E. 11</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En particulier, si l’estimation est effectuée sur la base de la circulaire n° 28, il convient alors de supposer que l’estimation aboutit à une valeur vénale correcte et que, par ce calcul, le fisc a apporté une preuve suffisante. Si un contribuable est d’un avis contraire, il lui appartient d’apporter ses propres preuves (décision de la commission cantonale de recours en matière d’impôts du canton de Zurich du 22 avril 2015 en la cause 1 ST.2014.46).</w:t>
      </w:r>
    </w:p>
    <w:p>
      <w:r>
        <w:t>- 7/8 - A/231/2024</w:t>
      </w:r>
    </w:p>
    <w:p>
      <w:r>
        <w:rPr>
          <w:b/>
        </w:rPr>
        <w:t>E. 12</w:t>
      </w:r>
    </w:p>
    <w:p>
      <w:r>
        <w:t>Le 1er janvier 2011 est entré en vigueur l'art. 60 LIPP, lequel constitue à lui seul la section 6 (intitulée « charge maximale ») du chapitre IV de la LIPP consacré à l'impôt sur la fortune.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w:t>
      </w:r>
    </w:p>
    <w:p>
      <w:r>
        <w:rPr>
          <w:b/>
        </w:rPr>
        <w:t>E. 13</w:t>
      </w:r>
    </w:p>
    <w:p>
      <w:r>
        <w:t>En l’espèce, dans leur recours, les contribuables font valoir des griefs identiques à ceux qu’ils ont invoqués dans la procédure relative à leur taxation 2019, qui a été définitivement jugée sur le fond par la chambre administrative (ATA/261/2024 précité). Consécutivement à cet arrêt, ils ont été invités à se prononcer, quant au maintien ou au retrait de leur recours et ont persisté dans leurs conclusions. Ils n’ont pas produit d’écriture de réplique et n’ont fait valoir aucun argument justifiant de s’écarter de la solution retenue dans cet arrêt. Le tribunal n’en perçoit d’ailleurs aucune. Pour le surplus, ils ne contestent pas les calculs de l’AFC-GE. Le recours doit dès lors être rejeté en tant qu’il concerne l’évaluation des titres de C______.</w:t>
      </w:r>
    </w:p>
    <w:p>
      <w:r>
        <w:rPr>
          <w:b/>
        </w:rPr>
        <w:t>E. 14</w:t>
      </w:r>
    </w:p>
    <w:p>
      <w:r>
        <w:t>Les recourants ne peuvent pas non plus être suivis lorsqu’ils prétendent que la méthode d’évaluation des titres de cette société conduit à une imposition confiscatoire. En effet, étant donné qu’ils soutiennent que leur imposition présente un caractère confiscatoire, les contribuables, à qui incombe le fardeau de la preuve, ne peuvent se limiter à alléguer ce fait sans apporter aucune démonstration de sa réalité, le seul niveau d’imposition ne suffisant pas à cet égard (ATA/712/2022 du 5 juillet 2022 consid. 7). Au demeurant, leur taxation n’apparaît pas confiscatoire. Ainsi que le relève à juste titre l’AFC-GE, en 2018 ils n’ont pas bénéficié du bouclier fiscal (art. 60 LIPP) et ne concluent pas à l’application de cette disposition. Dès lors, leur recours sera intégralement rejeté.</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Aucune indemnité de procédure ne sera allouée (art. 87 al. 2 LPA).</w:t>
      </w:r>
    </w:p>
    <w:p>
      <w:r>
        <w:t>- 8/8 - A/231/2024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