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JTAPI/790/2025 vom 14. Juli 2025</w:t>
      </w:r>
    </w:p>
    <w:p>
      <w:r>
        <w:t>GE Cour de justice, 2025-07-14, FR</w:t>
      </w:r>
    </w:p>
    <w:p>
      <w:r>
        <w:rPr>
          <w:b/>
        </w:rPr>
        <w:t xml:space="preserve">Quelle: </w:t>
      </w:r>
      <w:r>
        <w:t>https://mcp.opencaselaw.ch/entscheid/ge_gerichte_JTAPI_790_2025</w:t>
      </w:r>
    </w:p>
    <w:p>
      <w:r>
        <w:t>FR: GE_GERICHTE JTAPI/790/2025 du 14 juillet 2025</w:t>
      </w:r>
    </w:p>
    <w:p>
      <w:r>
        <w:t>IT: GE_GERICHTE JTAPI/790/2025 del 14 luglio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w:t>
      </w:r>
    </w:p>
    <w:p>
      <w:r>
        <w:t>- 7/9 - A/2546/2025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correspondent à la notion de violences domestiques au sens défini par la loi. M. B______ conteste la plupart des faits tout en admettant l’existence de disputes avec l’intéressée, avoir pu lui parler sèchement, s’être énervé et le chantage au suicide. Il indique ne plus souhaiter avoir de contacts avec elle et avoir bien compris qu’il ne devait pas lui répondre si elle le contactait par messagerie. Il explique souhaiter uniquement pouvoir récupérer ses clés de crypto sur le téléphone de cette dernière et être</w:t>
      </w:r>
    </w:p>
    <w:p>
      <w:r>
        <w:t>- 8/9 - A/2546/2025 d’accord pour le surplus avec la prolongation de la mesure d’éloignement telle que requise par Mme A______. Dans ces conditions, tenant compte de la fragilité de la précitée, du fait que M. B______ n’a pas complètement respecté la mesure d’éloignement et de son accord à la prolongation de la mesure, il apparait nécessaire de s’assurer que l’intéressé ne puisse pas s’approcher du domicile de Mme A______, respectivement ne puisse pas contacter ou s’approcher de cette dernière dès le 24 juillet prochain, ceci quand bien même la mesure d'éloignement, a fortiori sa prolongation, n'a pas pour objectif de donner du temps aux personnes concernées pour qu'elles organisent leur vie séparée. Le tribunal prolongera dès lors la mesure d'éloignement en cause jusqu'au 24 août 2025 à 17h00. Partant, pendant cette nouvelle période de 30 jours, il sera toujours interdit à M. B______ de s'approcher ou de pénétrer à l'adresse privée de Mme A______, située chemin ______[GE] et de contacter ou de s'approcher de celle-ci. Il est donné acte aux parties de ce que M. B______ pourra contacter le conseil de Mme A______ afin de récupérer ses clés de crypto par l’intermédiaire dudit conseil.</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A/2546/2025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