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JTAPI/78/2025 vom 23. Januar 2025</w:t>
      </w:r>
    </w:p>
    <w:p>
      <w:r>
        <w:t>GE Cour de justice, 2025-01-23, FR</w:t>
      </w:r>
    </w:p>
    <w:p>
      <w:r>
        <w:rPr>
          <w:b/>
        </w:rPr>
        <w:t xml:space="preserve">Quelle: </w:t>
      </w:r>
      <w:r>
        <w:t>https://mcp.opencaselaw.ch/entscheid/ge_gerichte_JTAPI_78_2025</w:t>
      </w:r>
    </w:p>
    <w:p>
      <w:r>
        <w:t>FR: GE_GERICHTE JTAPI/78/2025 du 23 janvier 2025</w:t>
      </w:r>
    </w:p>
    <w:p>
      <w:r>
        <w:t>IT: GE_GERICHTE JTAPI/78/2025 del 23 gennaio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w:t>
      </w:r>
    </w:p>
    <w:p>
      <w:r>
        <w:t>- 3/5 - A/2896/2024 sur les constructions et les installations diverses du 14 avril 1988 (LCI - L 5 05) (art. 115 al. 2 et 116 al. 1 de la loi sur l’organisation judiciaire du 26 septembre 2010 - LOJ - E 2 05 ; art. 143 et 145 al. 1 LCI).</w:t>
      </w:r>
    </w:p>
    <w:p>
      <w:r>
        <w:rPr>
          <w:b/>
        </w:rPr>
        <w:t>E. 2</w:t>
      </w:r>
    </w:p>
    <w:p>
      <w:r>
        <w:t>Selon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3</w:t>
      </w:r>
    </w:p>
    <w:p>
      <w:r>
        <w:t>En l'espèce, les recours interjetés dans les procédures A/2896/2024 et A/2898/2024 se rapportent à la même décision litigieuse, de sorte que leur jonction dans la même procédure se justifie. Ces deux causes seront réunies sous n° de procédure A/2896/2024.</w:t>
      </w:r>
    </w:p>
    <w:p>
      <w:r>
        <w:rPr>
          <w:b/>
        </w:rPr>
        <w:t>E. 4</w:t>
      </w:r>
    </w:p>
    <w:p>
      <w:r>
        <w:t>La recevabilité d’un recours présuppose que le destinataire de la décision ait un intérêt actuel et digne de protection à ce que celle-ci soit annulée ou modifiée (art. 60 al. 1 let. b LPA ; ATF 131 II 361 consid. 1.2).</w:t>
      </w:r>
    </w:p>
    <w:p>
      <w:r>
        <w:rPr>
          <w:b/>
        </w:rPr>
        <w:t>E. 5</w:t>
      </w:r>
    </w:p>
    <w:p>
      <w:r>
        <w:t>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et la jurisprudence citée ; ATF 1C_495/2014 du 23 février 2015 consid. 1.2).</w:t>
      </w:r>
    </w:p>
    <w:p>
      <w:r>
        <w:rPr>
          <w:b/>
        </w:rPr>
        <w:t>E. 6</w:t>
      </w:r>
    </w:p>
    <w:p>
      <w:r>
        <w:t>S'il s'éteint pendant la procédure, le recours, devenu sans objet, doit être simplement rayé du rôle (cf. ATF 139 I 206 consid. 1.1 ; 137 I 23 consid. 1.3.1 ; arrêts du Tribunal fédéral 4D_1/2016 du 19 janvier 2016 ; 2C_120/2014 du 18 juillet 2014 consid. 1.2).</w:t>
      </w:r>
    </w:p>
    <w:p>
      <w:r>
        <w:rPr>
          <w:b/>
        </w:rPr>
        <w:t>E. 7</w:t>
      </w:r>
    </w:p>
    <w:p>
      <w:r>
        <w:t>La renonciation à un droit est possible de la part d’un administré pour tous les droits pour lesquels celui-ci a un libre pouvoir de disposition sur la prétention ou son objet, tel étant en particulier le cas lorsque le droit s’éteint faute d’intervention de son titulaire, notamment par prescription ou péremption (cf. Pierre MOOR / Etienne POLTIER, Droit administratif, vol. 2, 3ème éd., 2011, n. 1.3.4.1 p. 109 s.), la possibilité d’assortir le constat d’une telle renonciation à des charges étant possible pour éviter des abus de droit (cf. ATA/727/2013 du 29 octobre 2013).</w:t>
      </w:r>
    </w:p>
    <w:p>
      <w:r>
        <w:rPr>
          <w:b/>
        </w:rPr>
        <w:t>E. 8</w:t>
      </w:r>
    </w:p>
    <w:p>
      <w:r>
        <w:t>Ainsi, notamment, tout titulaire d’une autorisation de construire, qui doit l’exercer dans le délai de prescription de deux ans de l’art. 4 al. 5 LCI, peut aussi y renoncer plus tôt (cf. ATA/727/2013 du 29 octobre 2013).</w:t>
      </w:r>
    </w:p>
    <w:p>
      <w:r>
        <w:rPr>
          <w:b/>
        </w:rPr>
        <w:t>E. 9</w:t>
      </w:r>
    </w:p>
    <w:p>
      <w:r>
        <w:t>En l’espèce, l'intimée, bénéficiaire de l’autorisation de construire n° DD 4______/1, a expressément déclaré, par courrier du 4 novembre 2024, qu'elle renonçait à s'en prévaloir. Par conséquent, le tribunal lui en donnera acte. Cette renonciation doit conduire au constat de la caducité de ladite autorisation, qui cessera de déployer ses effets à compter de l’entrée en force du présent jugement (cf. ATA/727/2013 du 29 octobre 2013).</w:t>
      </w:r>
    </w:p>
    <w:p>
      <w:r>
        <w:t>- 4/5 - A/2896/2024</w:t>
      </w:r>
    </w:p>
    <w:p>
      <w:r>
        <w:rPr>
          <w:b/>
        </w:rPr>
        <w:t>E. 10</w:t>
      </w:r>
    </w:p>
    <w:p>
      <w:r>
        <w:t>Dans ces circonstances, force est de constater que les recourantes ne disposent plus d’un intérêt actuel à l’annulation ou à la modification de la décision querellée.</w:t>
      </w:r>
    </w:p>
    <w:p>
      <w:r>
        <w:rPr>
          <w:b/>
        </w:rPr>
        <w:t>E. 11</w:t>
      </w:r>
    </w:p>
    <w:p>
      <w:r>
        <w:t>En conclusion, les recours sont devenus sans objet. La cause sera par conséquent rayée du rôle.</w:t>
      </w:r>
    </w:p>
    <w:p>
      <w:r>
        <w:rPr>
          <w:b/>
        </w:rPr>
        <w:t>E. 12</w:t>
      </w:r>
    </w:p>
    <w:p>
      <w:r>
        <w:t>En application de l’art. 87 al. 1 LPA, il ne sera pas perçu d’émolument auprès des recourantes, dans la mesure où elles ont, en soi, obtenu gain de cause. Leurs avances de frais respectives de CHF 900.- leur seront donc restituées.</w:t>
      </w:r>
    </w:p>
    <w:p>
      <w:r>
        <w:rPr>
          <w:b/>
        </w:rPr>
        <w:t>E. 13</w:t>
      </w:r>
    </w:p>
    <w:p>
      <w:r>
        <w:t>En application de l'art. 87 al. 1 LPA et des art. 1 ss du règlement sur les frais, émoluments et indemnités en procédure administrative du 30 juillet 1986 (RFPA - E 5 10.03), un émolument de CHF 400.- sera mis à la charge de l'intimée, au vu du travail administratif accompli pour le traitement de la cause et du présent jugement.</w:t>
      </w:r>
    </w:p>
    <w:p>
      <w:r>
        <w:rPr>
          <w:b/>
        </w:rPr>
        <w:t>E. 14</w:t>
      </w:r>
    </w:p>
    <w:p>
      <w:r>
        <w:t>Par ailleurs, l’intimée et l'État de Genève, soit pour lui le département du territoire, seront condamnés, pris solidairement, à verser à B______ SA une indemnité de procédure de CHF 1’500.- (art. 87 al. 2 LPA). Il convient de rappeler à ce sujet que la disposition légale précitée ne prévoit qu'une indemnité de procédure, laquelle ne représente par définition qu'une fraction des frais engagés par la partie qui y a droit. Dans ces conditions, le montant maximal de CHF 10'000.- prévu par l'art. 6 du RFPA, auquel se réfère intimée, n'est pas destiné à être appliqué à chaque fois que les frais engagés en frais d'avocat et/ou d'expert le dépassent, sans quoi il ne correspondrait plus à une indemnité mais à un forfait. Par ailleurs, la fourchette prévue par l'art. 6 RFPA, qui reste certes modeste par rapport aux coûts usuellement engagés dans une procédure judiciaire administrative, signifie bien que les tribunaux doivent appliquer cette disposition légale avec retenue et en gardant à l'esprit que le montant maximal de CHF 10'000.- ne trouve à s'appliquer que dans les situations où la complexité et l'ampleur d'un litige entraînent des frais de procédure atteignant eux aussi une certaine ampleur. Cette fourchette oblige enfin les tribunaux, par égalité de traitement, à préserver un rapport proportionnel entre l'indemnité allouée et les frais de la procédure, en tenant compte de la très grande variabilité de ces derniers d'un litige à l'autre.</w:t>
      </w:r>
    </w:p>
    <w:p>
      <w:r>
        <w:t>- 5/5 - A/2896/2024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