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JTAPI/787/2024 vom 19. August 2024</w:t>
      </w:r>
    </w:p>
    <w:p>
      <w:r>
        <w:t>GE Cour de justice, 2024-08-19, FR</w:t>
      </w:r>
    </w:p>
    <w:p>
      <w:r>
        <w:rPr>
          <w:b/>
        </w:rPr>
        <w:t xml:space="preserve">Quelle: </w:t>
      </w:r>
      <w:r>
        <w:t>https://mcp.opencaselaw.ch/entscheid/ge_gerichte_JTAPI_787_2024</w:t>
      </w:r>
    </w:p>
    <w:p>
      <w:r>
        <w:t>FR: GE_GERICHTE JTAPI/787/2024 du 19 août 2024</w:t>
      </w:r>
    </w:p>
    <w:p>
      <w:r>
        <w:t>IT: GE_GERICHTE JTAPI/787/2024 del 19 agosto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La question de savoir s’il a été formé dans le délai de 30 jours prévu par ces dispositions peut souffrir de rester indécise dès lors qu’il doit de toute manière être rejeté sur le fond.</w:t>
      </w:r>
    </w:p>
    <w:p>
      <w:r>
        <w:t>- 4/8 - A/4283/2023</w:t>
      </w:r>
    </w:p>
    <w:p>
      <w:r>
        <w:rPr>
          <w:b/>
        </w:rPr>
        <w:t>E. 3</w:t>
      </w:r>
    </w:p>
    <w:p>
      <w:r>
        <w:t>A teneur des art. 132 al. 1 LIFD et 39 al. 1 LPFisc, le contribuable peut adresser à l'autorité de taxation une réclamation écrite contre la décision de taxation dans les 30 jours qui suivent sa notification. Le fardeau de la preuve de la notification incombe à l'autorité qui entend en tirer une conséquence juridique (ATF 129 I 8 consid. 2.2). En l'absence d'envoi recommandé, la preuve de la notification d'un acte peut résulter de l'ensemble des circonstances, en particulier de la correspondance échangée ou de l'absence de protestation de la part d'une personne qui reçoit des rappels (ATF 142 IV 125 consid. 4.3 ; 136 V 295 consid. 5.9).</w:t>
      </w:r>
    </w:p>
    <w:p>
      <w:r>
        <w:rPr>
          <w:b/>
        </w:rPr>
        <w:t>E. 4</w:t>
      </w:r>
    </w:p>
    <w:p>
      <w:r>
        <w:t>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(art. 133 al. 3 LIFD, 41 al. 3 LPFisc).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5</w:t>
      </w:r>
    </w:p>
    <w:p>
      <w:r>
        <w:t>Les délais fixés par la loi sont des dispositions impératives de droit public. Ils ne sont en principe pas susceptibles d’être prolongés, restitués ou suspendus, si ce n’est par le législateur lui-même (art. 21 al. 1 LPFisc, 119 al. 1 LIFD et 16 al. 1 de la loi sur la procédure administrative du 12 septembre 1985 - LPA - E 5 10). Ainsi, celui qui n’agit pas dans le délai prescrit est forclos de sorte que la décision en cause acquiert force obligatoire (ATA/85/2020 du 28 janvier 2020 consid. 3 et les références citées). Le strict respect des délais légaux se justifie pour des raisons d’égalité de traitement et n’est pas constitutif de formalisme excessif (ATF 142 V 152 consid. 4.2 in fine).</w:t>
      </w:r>
    </w:p>
    <w:p>
      <w:r>
        <w:rPr>
          <w:b/>
        </w:rPr>
        <w:t>E. 6</w:t>
      </w:r>
    </w:p>
    <w:p>
      <w:r>
        <w:t>En l’espèce, la date exacte à laquelle le recourant a reçu les bordereaux litigieux, datés du 19 janvier 2022, ne peut être précisément déterminée dans la mesure où l’AFC-GE a choisi de les lui communiquer par pli simple. Le recourant a cependant indiqué dans son recours qu’il avait reçu sa taxation 2021 au début de l’année 2023 et qu’il avait alors déjà connaissance de sa taxation 2020. Il a ensuite confirmé dans sa réplique qu’il avait reçu ladite taxation au début de l’année 2022. Il est dès lors établi que les bordereaux contestés lui ont été notifiés au plus tard à la fin du mois de janvier 2022, de sorte que le délai de</w:t>
      </w:r>
    </w:p>
    <w:p>
      <w:r>
        <w:t>- 5/8 - A/4283/2023 réclamation de 30 jours prévu par l’art. 39 al. 1 LPFisc avait largement expiré lorsqu’il s’est adressé à l’AFC-GE par courrier du 30 octobre 2023. Sous cet angle, l’AFC-GE pouvait dès lors considérer sa réclamation comme tardive. Le recourant a toutefois exposé, dans le courrier susmentionné, qu’il sollicitait la révision de ses bordereaux 2020 au motif qu’il n’avait compris « que maintenant » que l’AFC-GE avait inclus, dans ses revenus, une valeur locative correspondant au double du loyer effectif de l’appartement dont il avait hérité. Il n’a pas qualifié ce courrier de réclamation, ni n’a sollicité de restitution du délai de 30 jours prévu par la loi pour utiliser cette voie de droit au motif qu’il aurait été empêché d’agir en temps valable. Il n’a pas non plus formulé de requête en ce sens dans les écritures qu’il a déposées devant le tribunal de céans. Il a au contraire persisté à expliquer qu’il n’avait contesté sa taxation qu’au mois d’octobre 2023 car il avait tardé à comprendre comment celle-ci avait été établie et qu’il avait désormais connaissance du montant des loyers encaissés. Le courrier du 30 octobre 2023 constituait dès lors une demande de révision au sens des art. 147 al. 1 LIFD et 55 al. 1 LPFisc (cf. infra consid. 7) et non une réclamation comme l’a retenu l’AFC- GE. Le traitement d'une telle demande relevant de la compétence de l'AFC-GE (cf. art. 149 al. 1 LIFD, 57 al. 1 LPFisc), la cause devrait en principe être renvoyée à cette dernière (cf. art. 11 al. 3 LPA cum art. 2 al. 2 LPFisc) pour qu'elle statue sous cet angle. Par économie de procédure, le tribunal de céans statue cependant lui-même sur une demande de révision lorsque l’AFC-GE a traité celle-ci comme une réclamation, sous condition que ladite autorité se prononce sur les chances de succès de cette demande au stade du recours (JTAPI/947/2023 du 4 septembre 2023 consid. 10 ; JTAPI/635/2021 du 21 juin 2021 consid. 8; JTAPI/75/2014 du 20 janvier 2014 consid. 4 et les jugements cités), ce qui a été fait en l’occurrence (cf. En fait, ch. 5 in fine).</w:t>
      </w:r>
    </w:p>
    <w:p>
      <w:r>
        <w:rPr>
          <w:b/>
        </w:rPr>
        <w:t>E. 7</w:t>
      </w:r>
    </w:p>
    <w:p>
      <w:r>
        <w:t>À teneur des art. 55 al. 1 LPFisc et 147 al. 1 LIFD, qui instituent un cas de reconsidération obligatoire, une décision ou un prononcé entré en force peut être révisé (par quoi il faut entendre « reconsidéré », le terme de révision étant en effet destiné au réexamen des décisions judiciaires ; cf. ATA/920/2019 du 21 mai 2019 consid. 2d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Est nouveau le fait qui était inconnu, mais qui existait déjà au moment de la décision. Les faits en question sont donc des événements antérieurs au prononcé</w:t>
      </w:r>
    </w:p>
    <w:p>
      <w:r>
        <w:t>- 6/8 - A/4283/2023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La révision est en revanche exclue lorsque le requérant invoque des motifs qu’il aurait déjà pu faire valoir au cours de la procédure ordinaire s’il avait fait preuve de toute la diligence qui pouvait raisonnablement être exigée de lui (art. 147 al. 2 LIFD, art. 51 al. 2 LHID,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 motif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précité consid. 5.3 et les références citées).</w:t>
      </w:r>
    </w:p>
    <w:p>
      <w:r>
        <w:rPr>
          <w:b/>
        </w:rPr>
        <w:t>E. 8</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Thierry TANQUEREL, Manuel de droit administratif, 2ème éd., 2018, n. 1428 ss p. 480). Si la juridiction de recours retient la survenance d’une modification des circonstances, elle doit renvoyer le dossier à l’autorité intimée afin que celle-ci entre cette fois en matière et examine si cette modification des circonstances est propre, sous l'angle juridique, à entraîner une modification de la décision initiale (Jacques DUBEY/Jean-Baptiste ZUFFEREY, Droit administratif général, 2014, n. 2148 ; Thierry TANQUEREL, op. cit., n. 1429).</w:t>
      </w:r>
    </w:p>
    <w:p>
      <w:r>
        <w:rPr>
          <w:b/>
        </w:rPr>
        <w:t>E. 9</w:t>
      </w:r>
    </w:p>
    <w:p>
      <w:r>
        <w:t>En l’espèce, les explications données par le recourant ne permettent pas de retenir que les conditions d’une révision des décisions querellées seraient réalisées. Il appartenait en effet au recourant de contrôler sa taxation 2020 à réception de celle-ci et, cas échéant, de déposer une réclamation, voire de recourir dans les délais légaux, ce qu’il n’a pas fait. Le recourant ne saurait se retrancher derrière le</w:t>
      </w:r>
    </w:p>
    <w:p>
      <w:r>
        <w:t>- 7/8 - A/4283/2023 fait qu’il ne disposait, à ce moment, ni des connaissances juridiques ni des documents nécessaires pour contester cette décision. La prise en compte de la valeur locative de l’appartement dont il avait hérité ressortait en effet clairement des avis de taxation ICC et IFD, lesquels faisaient notamment état de revenus bruts immobiliers à hauteur de CHF 17'600.-. Le recourant pouvait dès lors saisir que la forte augmentation de sa charge fiscale par rapport à l’année précédente était principalement liée aux revenus en question, l’impôt sur la fortune restant pour sa part marginal. A supposer que ce lien de cause à effet n’ait pas été évident pour lui, il avait la possibilité de se renseigner auprès de l’AFC-GE ou d’un mandataire professionnellement qualifié dans le délai de 30 jours prévu par la loi, afin de déterminer s’il entendait contester cette appréciation au moyen d’une réclamation. Dans l’hypothèse où il ne disposait pas encore des éléments nécessaires pour fonder une telle réclamation, il pouvait en outre solliciter un délai pour compléter celle-ci, le temps pour lui d’obtenir les documents pertinents de la part de son frère, étant précisé qu’il n’a pas prétendu qu’il lui aurait été impossible de les obtenir à ce moment-là. Le recourant n’a cependant entrepris aucune démarche en ce sens et a attendu près de deux ans pour solliciter la révision de sa taxation 2020. Ce faisant, il n’a pas fait preuve de la diligence qui pouvait raisonnablement être exigée de lui. Au vu de ce qui précède, l’AFC-GE n’aurait pas été dans l’obligation d’entrer en matière sur la demande de reconsidération du recourant, si elle l’avait perçue comme telle.</w:t>
      </w:r>
    </w:p>
    <w:p>
      <w:r>
        <w:rPr>
          <w:b/>
        </w:rPr>
        <w:t>E. 10</w:t>
      </w:r>
    </w:p>
    <w:p>
      <w:r>
        <w:t>Partant, le recours sera rejeté dans la mesure de sa recevabilité.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sera condamné au paiement d’un émolument s'élevant à CHF 700.-, lequel est couvert par l’avance de frais versée à la suite du dépôt du recours. Vu l’issue du litige, aucune indemnité de procédure ne sera allouée (art. 87 al. 2 LPA).</w:t>
      </w:r>
    </w:p>
    <w:p>
      <w:r>
        <w:t>- 8/8 - A/4283/2023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