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JTAPI/786/2024 vom 19. August 2024</w:t>
      </w:r>
    </w:p>
    <w:p>
      <w:r>
        <w:t>GE Cour de justice, 2024-08-19, FR</w:t>
      </w:r>
    </w:p>
    <w:p>
      <w:r>
        <w:rPr>
          <w:b/>
        </w:rPr>
        <w:t xml:space="preserve">Quelle: </w:t>
      </w:r>
      <w:r>
        <w:t>https://mcp.opencaselaw.ch/entscheid/ge_gerichte_JTAPI_786_2024</w:t>
      </w:r>
    </w:p>
    <w:p>
      <w:r>
        <w:t>FR: GE_GERICHTE JTAPI/786/2024 du 19 août 2024</w:t>
      </w:r>
    </w:p>
    <w:p>
      <w:r>
        <w:t>IT: GE_GERICHTE JTAPI/786/2024 del 19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de déterminer si c’est à bon droit que l’AFC-GE a estimé que la réclamation avait été déposée tardivement.</w:t>
      </w:r>
    </w:p>
    <w:p>
      <w:r>
        <w:rPr>
          <w:b/>
        </w:rPr>
        <w:t>E. 5</w:t>
      </w:r>
    </w:p>
    <w:p>
      <w:r>
        <w:t>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w:t>
      </w:r>
    </w:p>
    <w:p>
      <w:r>
        <w:t>Selon les art. 132 al. 3 LIFD et 39 al. 2 LPFisc,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(arrêt du Tribunal 2C_435/2018 du 24 mai 2018 consid. 6.2 et l’arrêt cité).</w:t>
      </w:r>
    </w:p>
    <w:p>
      <w:r>
        <w:t>- 4/6 - A/3590/2023</w:t>
      </w:r>
    </w:p>
    <w:p>
      <w:r>
        <w:t>Selon les art. 41 al. 3 LPFisc et 133 al. 3 LIFD,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rPr>
          <w:b/>
        </w:rPr>
        <w:t>E. 6</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7</w:t>
      </w:r>
    </w:p>
    <w:p>
      <w:r>
        <w:t>En l’espèce, le contribuable a élevé réclamation le 27 septembre 2023 à l’encontre des bordereaux de taxation datés du 18 octobre 2021, soit manifestement hors du délai légal de trente jours. Dans son recours, le contribuable admet avoir agi tardivement. Conformément à la jurisprudence, cette déclaration lui est opposable (arrêt du Tribunal fédéral 2C_637/2007 du 4 avril 2008, consid. 2.3 et 2.4.1). Cela étant, il soutient en substance qu’en dépit du non respect du délai de réclamation, l’AFC-GE doit entrer en matière sur celle-ci, au motif qu’elle lui réclame plus CHF 26'000.-, alors qu’il ne doit que CHF 25.-. Le contribuable ne fournit cependant aucune explication pour justifier le fait qu’il n’a contesté les bordereaux incriminés que deux ans après les avoir reçus. Son revenu imposable (CHF 130'000.-) et l’impôt dû (CHF 26'853.- pour l’ICC et CHF 5'434.- pour l’IFD) fixés d’office ressortent pourtant clairement de ces bordereaux. Quoi qu’il en soit, selon la jurisprudence (JTAPI/616/2024 du 24 juin 2024 consid. 8), une inattention ne constitue pas un motif de restitution du délai. Il résulte de ce qui précède que à bon droit que l’AFC-GE a déclaré la réclamation irrecevable pour cause de tardiveté.</w:t>
      </w:r>
    </w:p>
    <w:p>
      <w:r>
        <w:rPr>
          <w:b/>
        </w:rPr>
        <w:t>E. 8</w:t>
      </w:r>
    </w:p>
    <w:p>
      <w:r>
        <w:t>On peut encore considérer qu'en déposant sa déclaration fiscale le 27 septembre 2023, le recourant n’a pas élevé réclamation, mais sollicité la reconsidération de ses taxations (ATA/660/2015 du 23 juin 2015).</w:t>
      </w:r>
    </w:p>
    <w:p>
      <w:r>
        <w:rPr>
          <w:b/>
        </w:rPr>
        <w:t>E. 9</w:t>
      </w:r>
    </w:p>
    <w:p>
      <w:r>
        <w:t>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w:t>
      </w:r>
    </w:p>
    <w:p>
      <w:r>
        <w:t>- 5/6 - A/3590/2023 diligence qui pouvait raisonnablement être exigée de lui (art. 55 al. 2 LPFisc et art. 147 al. 2 LIFD).</w:t>
      </w:r>
    </w:p>
    <w:p>
      <w:r>
        <w:rPr>
          <w:b/>
        </w:rPr>
        <w:t>E. 10</w:t>
      </w:r>
    </w:p>
    <w:p>
      <w:r>
        <w:t>Une révision est exclue en cas d'erreur dans la déclaration d'impôt due à une négligence du contribuable ou de son représentant. Il appartient au contribuable de contrôler la décision de taxation lorsqu'il la reçoit et de signaler en temps utile les vices dont elle serait affectée (consid. 5.2). Il n'est pas possible de déroger aux principes régissant la révision, si le résultat de leur application est choquant et heurte le sentiment de l'équité. Un tel raisonnement revient en effet à déroger à la règle du numerus clausus des motifs légaux qui permettent de revenir sur une décision entrée en force (arrêt du Tribunal fédéral 2C_245/2019 du 27 septembre 2019 consid. 5.1).</w:t>
      </w:r>
    </w:p>
    <w:p>
      <w:r>
        <w:rPr>
          <w:b/>
        </w:rPr>
        <w:t>E. 11</w:t>
      </w:r>
    </w:p>
    <w:p>
      <w:r>
        <w:t>En l’occurrence, le contribuable n’a pas allégué, et encore moins démontré que les conditions de la révision seraient remplies. Il aurait, d’ailleurs, pu faire valoir ses griefs à l’encontre des bordereaux incriminés dans le cadre de la procédure ordinaire de réclamation, s’il avait fait preuve de toute la diligence qui pouvait être raisonnablement exigée de lui et invoquer, cas échéant, que sa taxation d’office se révélait manifestement inexacte. Une simple lecture des bordereaux lui permettait en effet de comprendre le montant de l’impôt qui lui était réclamé. Le fait que le revenu fixé d’office, à savoir CHF 130'000.-, excède manifestement celui que le contribuable a déterminé en remplissant sa déclaration fiscale (à savoir CHF 12'622.- pour l’ICC et CHF 23'240.- pour l’IFD), ne justifie pas que la taxation de l’intéressé soit reconsidérée. En effet, ainsi qu’il résulte de la jurisprudence exposée ci-dessus, il n’est pas permis de réviser une taxation au seul motif que celle-ci se révèle choquante.</w:t>
      </w:r>
    </w:p>
    <w:p>
      <w:r>
        <w:rPr>
          <w:b/>
        </w:rPr>
        <w:t>E. 12</w:t>
      </w:r>
    </w:p>
    <w:p>
      <w:r>
        <w:t>Ne reposant sur aucun motif valable, le recours doit être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- 6/6 - A/3590/2023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