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JTAPI/784/2024 vom 19. August 2024</w:t>
      </w:r>
    </w:p>
    <w:p>
      <w:r>
        <w:t>GE Cour de justice, 2024-08-19, FR</w:t>
      </w:r>
    </w:p>
    <w:p>
      <w:r>
        <w:rPr>
          <w:b/>
        </w:rPr>
        <w:t xml:space="preserve">Quelle: </w:t>
      </w:r>
      <w:r>
        <w:t>https://mcp.opencaselaw.ch/entscheid/ge_gerichte_JTAPI_784_2024</w:t>
      </w:r>
    </w:p>
    <w:p>
      <w:r>
        <w:t>FR: GE_GERICHTE JTAPI/784/2024 du 19 août 2024</w:t>
      </w:r>
    </w:p>
    <w:p>
      <w:r>
        <w:t>IT: GE_GERICHTE JTAPI/784/2024 del 19 agosto 2024</w:t>
      </w:r>
    </w:p>
    <w:p>
      <w:pPr>
        <w:pStyle w:val="Heading2"/>
      </w:pPr>
      <w:r>
        <w:t>Erwägungen</w:t>
      </w:r>
    </w:p>
    <w:p>
      <w:r>
        <w:rPr>
          <w:b/>
        </w:rPr>
        <w:t>E. 1</w:t>
      </w:r>
    </w:p>
    <w:p>
      <w:r>
        <w:t>Le Tribunal administratif de première instance connaît des recours dirigés, comme en l’espèce, contre les décisions de l’administration fiscale cantonale (art. 115 al. 2 et 116 al. 1 de la loi sur l’organisation judiciaire du 26 septembre 2010 - LOJ - E 2</w:t>
      </w:r>
    </w:p>
    <w:p>
      <w:r>
        <w:rPr>
          <w:b/>
        </w:rPr>
        <w:t>E. 05</w:t>
      </w:r>
    </w:p>
    <w:p>
      <w:r>
        <w:t>; art. 182 al. 3 de la loi sur les droits d’enregistrement du 9 octobre 1969 - LDE - D 3 30). 2. Interjeté en temps utile et dans les formes prescrites devant la juridiction compétente, le recours est recevable au sens des art. 63 et 65 de la loi sur la procédure administrative du 12 septembre 1985 (LPA - E 5 10), étant précisé que la notaire a qualité pour recourir (JTAPI/987/2022 du 23 septembre 2022 consid. 2). 3. La recourante sollicite sa comparution personnelle, ainsi que l’audition de M. E______. 4.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de participer à l’administration des preuves essentielles ou à tout le moins de s’exprimer sur son résultat, lorsque cela est de nature à influer sur la décision à rendre (ATF 138 I 154 consid. 2.3.3).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Le droit d’être entendu ne comprend pas le droit d'être entendu oralement ni celui d'obtenir l’audition de témoins (ATF 130 II 425 consid. 2.1 et les références citées).</w:t>
      </w:r>
    </w:p>
    <w:p>
      <w:r>
        <w:rPr>
          <w:b/>
        </w:rPr>
        <w:t>E. 5</w:t>
      </w:r>
    </w:p>
    <w:p>
      <w:r>
        <w:t>En l’espèce, le tribunal estime que le dossier contient les éléments suffisants et nécessaires pour statuer en toute connaissance de cause sur le litige, de sorte qu’il n’apparaît pas utile de procéder à l’audition de la recourante. En effet, elle a pu faire valoir ses arguments dans le cadre de son recours et de sa réplique et a été en mesure de produire tout moyen de preuve qu’elle jugeait utile. L’audition de M. E______ n’apporterait pas non plus d'éléments supplémentaires susceptibles d'influer sur l'issue du litige. Ainsi qu’il sera examiné ci-dessous, ne sont pas déterminantes les raisons pour lesquelles il n’aurait pas acquitté l’acompte de CHF 3'000'000.-, ni le fait qu’il aurait promis de verser ce montant.</w:t>
      </w:r>
    </w:p>
    <w:p>
      <w:r>
        <w:t>- 5/8 - A/2396/2023</w:t>
      </w:r>
    </w:p>
    <w:p>
      <w:r>
        <w:rPr>
          <w:b/>
        </w:rPr>
        <w:t>E. 6</w:t>
      </w:r>
    </w:p>
    <w:p>
      <w:r>
        <w:t>La recourante demande l’annulation de la décision du 15 juin 2023 et, par voie de conséquence, du bordereau de droits d’enregistrement du 15 mai précédent, taxant la constitution du droit d’emption.</w:t>
      </w:r>
    </w:p>
    <w:p>
      <w:r>
        <w:rPr>
          <w:b/>
        </w:rPr>
        <w:t>E. 7</w:t>
      </w:r>
    </w:p>
    <w:p>
      <w:r>
        <w:t>Selon l’art. 959 al. 1 du Code civil suisse du 10 décembre 1907 (CC - RS 210), les droits personnels, tels que les droits de préemption, d’emption et de réméré, les baux à ferme et à loyer, peuvent être annotés au RF dans les cas expressément prévus par la loi.</w:t>
      </w:r>
    </w:p>
    <w:p>
      <w:r>
        <w:rPr>
          <w:b/>
        </w:rPr>
        <w:t>E. 8</w:t>
      </w:r>
    </w:p>
    <w:p>
      <w:r>
        <w:t>Les actes portant promesse de vente, d’achat ou d’échange, ainsi que les pactes d’emption, sont soumis au droit de 1 ‰, calculé sur la valeur vénale de l’immeuble, sans aucune déduction pour les dettes et les charges qui peuvent le grever (art. 50 al. 1 LDE). Ces opérations sont soumises aux droits d'enregistrement, qu'elles fassent ou non l'objet d'une annotation au RF (JTAPI/143/2022 du 21 février 2022 consid. 16).</w:t>
      </w:r>
    </w:p>
    <w:p>
      <w:r>
        <w:rPr>
          <w:b/>
        </w:rPr>
        <w:t>E. 9</w:t>
      </w:r>
    </w:p>
    <w:p>
      <w:r>
        <w:t>Selon cette jurisprudence, lorsque les droits d’enregistrement ont été prélevés en vertu d’une cause valable, telle qu'un acte ou une opération valablement instrumenté par un notaire, il est exclu d’imputer à l’AFC-GE un déni de justice matériel, de sorte que toute restitution des droits en application de l’art. 182 al. 1 let. c LDE est exclue. La créance d’impôt naît sitôt que les faits générateurs prévus par la loi sont réalisés, et ne dépend pas de la volonté du contribuable (arrêt du Tribunal fédéral 2C_1035/2020 du 12 novembre 2021 consid. 4.2 et les références citées). Ainsi, l’annulation d’une vente à terme par les parties ne justifie pas la restitution des droits. La créance d’impôt naît ex lege et ne peut être mise à néant par la volonté des parties (ATA/704/2023 du 27 juin 2023).</w:t>
      </w:r>
    </w:p>
    <w:p>
      <w:r>
        <w:rPr>
          <w:b/>
        </w:rPr>
        <w:t>E. 10</w:t>
      </w:r>
    </w:p>
    <w:p>
      <w:r>
        <w:t>Dans l’ATA/741/2002 du 26 novembre 2002, le Tribunal administratif (ci- après : TA) a considéré qu’en refusant la restitution des droits d'enregistrement d'un contrat de bail alors que la recourante avait renoncé à faire annoter son bail au registre foncier, l’AFC-GE avait commis un déni de justice matériel. Le TA a également retenu l’existence d’un déni de justice matériel dans l’ATA/509/2002 du 3 septembre 2002, dans lequel un bailleur avait déposé une demande de restitution des droits d’enregistrement d’un contrat de bail dès lors que, n’étant pas propriétaire de l’immeuble loué, il n’avait pas pu faire annoter le bail au RF.</w:t>
      </w:r>
    </w:p>
    <w:p>
      <w:r>
        <w:rPr>
          <w:b/>
        </w:rPr>
        <w:t>E. 11</w:t>
      </w:r>
    </w:p>
    <w:p>
      <w:r>
        <w:t>La partie induite à contracter par le dol de l’autre n’est pas obligée, même si son erreur n’est pas essentielle (art. 28 al. 1 de la loi fédérale du 30 mars 1911, complétant le Code civil suisse - CO, Code des obligations - RS 220). Le contrat entaché d’erreur ou de dol, ou conclu sous l’empire d’une crainte fondée, est tenu pour ratifié lorsque la partie qu’il n’oblige point a laissé s’écouler une année sans déclarer à l’autre sa résolution de ne pas le maintenir, ou sans répéter ce qu’elle</w:t>
      </w:r>
    </w:p>
    <w:p>
      <w:r>
        <w:t>- 6/8 - A/2396/2023 a payé (art. 31 al. 1 CO). Le délai court dès que l’erreur ou le dol a été découvert, ou dès que la crainte s’est dissipée.</w:t>
      </w:r>
    </w:p>
    <w:p>
      <w:r>
        <w:rPr>
          <w:b/>
        </w:rPr>
        <w:t>E. 12</w:t>
      </w:r>
    </w:p>
    <w:p>
      <w:r>
        <w:t>Selon la jurisprudence (arrêt du Tribunal fédéral 4A_286/2018 du 5 décembre 2018 consid. 2.2), le cocontractant dont le consentement a été entaché d'un vice tel que l'erreur essentielle (art. 24 al. 1 CO) ou le dol (art. 28 CO) peut déclarer à l'autre partie qu'il n'entend pas maintenir le contrat, dans le délai d'un an à compter de la découverte de l'erreur ou du dol ; à défaut, le contrat est tenu pour ratifié (art. 31 al. 1 et 2 CO). Ce délai péremptoire court dès le moment où le lésé a une connaissance certaine du vice de volonté ; de vagues doutes sans fondement précis ne suffisent pas. Si le vice de volonté invoqué à l'appui de l'invalidation est avéré, le contrat est caduc, en principe ex tunc. Les parties sont libérées des obligations qu'il prévoyait. Les prestations déjà fournies doivent être restituées selon les règles de la revendication ou de l'enrichissement illégitime.</w:t>
      </w:r>
    </w:p>
    <w:p>
      <w:r>
        <w:rPr>
          <w:b/>
        </w:rPr>
        <w:t>E. 13</w:t>
      </w:r>
    </w:p>
    <w:p>
      <w:r>
        <w:t>En l’espèce, la recourante soutient que les consorts D______ ont été dolosivement amenés à conclure l’acte authentique des 1er et 3 mars 2023. Selon eux, aux dates précitées, M. E______ savait qu'il ne disposait pas des fonds lui permettant de s’acquitter de l’acompte de CHF 3'000'000.-. Il en résulte, selon eux, que ce contrat est réputé n’avoir jamais existé et que le fait générateur des droits d’enregistrement n’a jamais pris naissance. D’ailleurs, l’acte n’a jamais été déposé au RF. L’intéressée ne peut être suivie. En effet, le fait que l’acte authentique n’ait jamais été déposé au RF n’est pas déterminant, car la constitution d’un pacte d’emption est soumise aux droits d’enregistrement, quand bien même elle ne fait pas l’objet d’une annotation. La créance fiscale de droits d’enregistrement a pris naissance ex lege dès le moment où l’acte authentique des 1er et 3 mars 2023 a été dressé par la notaire chargée d’instrumentaliser le pacte d’emption litigieux (art. 3 let. a LDE). Or, dès l’instant où une créance fiscale est née, elle ne peut être réduite à néant par une opération destinée à effacer les faits générateurs lui ayant donné naissance. Il n’est pas nécessaire de déterminer si les consorts D______ ont été amenés à conclure la convention des 1er et 3 mars 2023 par le dol. Selon l’extrait cantonal du registre des poursuites du district de G______, M. E______ fait l’objet de poursuites et d’actes de défaut de biens s’établissant à respectivement CHF 751'742.- et CHF 2'645'399.-. Ce document a été délivré à la recourante le 24 avril 2023. Ainsi, à cette date et en tous les cas lors de la réception du bordereau incriminé, la situation financière obérée de M. E______ était connue de la recourante. Or, il ne ressort d’aucune pièce du dossier que les consorts D______ auraient fait part au précité de leur intention de résoudre la convention des 1er et 3 mars 2023. Le tribunal ne peut dès lors suivre la recourante lorsqu’elle prétend que ledit acte a été mis à néant ex tunc et que, par conséquent, la créance de droits d’enregistrement de l’AFC-GE n’existe pas.</w:t>
      </w:r>
    </w:p>
    <w:p>
      <w:r>
        <w:rPr>
          <w:b/>
        </w:rPr>
        <w:t>E. 14</w:t>
      </w:r>
    </w:p>
    <w:p>
      <w:r>
        <w:t>Ne reposant sur aucun motif valable, le recours doit être rejeté.</w:t>
      </w:r>
    </w:p>
    <w:p>
      <w:r>
        <w:t>- 7/8 - A/2396/2023</w:t>
      </w:r>
    </w:p>
    <w:p>
      <w:r>
        <w:rPr>
          <w:b/>
        </w:rPr>
        <w:t>E. 15</w:t>
      </w:r>
    </w:p>
    <w:p>
      <w:r>
        <w:t>En application des art. 87 al. 1 LPA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Vu l’issue du litige, aucune indemnité de procédure ne sera allouée (art. 87 al. 2 LPA).</w:t>
      </w:r>
    </w:p>
    <w:p>
      <w:r>
        <w:t>- 8/8 - A/2396/2023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