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JTAPI/781/2024 vom 19. August 2024</w:t>
      </w:r>
    </w:p>
    <w:p>
      <w:r>
        <w:t>GE Cour de justice, 2024-08-19, FR</w:t>
      </w:r>
    </w:p>
    <w:p>
      <w:r>
        <w:rPr>
          <w:b/>
        </w:rPr>
        <w:t xml:space="preserve">Quelle: </w:t>
      </w:r>
      <w:r>
        <w:t>https://mcp.opencaselaw.ch/entscheid/ge_gerichte_JTAPI_781_2024</w:t>
      </w:r>
    </w:p>
    <w:p>
      <w:r>
        <w:t>FR: GE_GERICHTE JTAPI/781/2024 du 19 août 2024</w:t>
      </w:r>
    </w:p>
    <w:p>
      <w:r>
        <w:t>IT: GE_GERICHTE JTAPI/781/2024 del 19 agosto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dans cette mesure, sous l’angle des art. 49 LPFisc et 140 LIFD. Toutefois, pour qu'un recours soit - ou demeure - recevable, il faut encore que son auteur ait un intérêt digne de protection à ce que la décision attaquée soit annulée ou modifiée (cf. art. 60 let. b de la loi sur la procédure administrative du 12 septembre 1985 - LPA - E 5 10), ce qui suppose en particulier l'existence d'un intérêt actuel et pratique (ATF 131 II 361 consid. 1.2). Un intérêt de pur fait ou la simple perspective d'un intérêt juridique futur ne suffit pas à fonder un intérêt actuel (cf. ATF 127 III 41 consid. 2b). Dans le domaine fiscal, ne revêt pas un intérêt actuel et pratique le recours du contribuable dont les conclusions, bien que tendant à l'annulation d'une décision de taxation, n'impliquent pas une diminution de l'impôt (cf. ATF 140 I 114 consid. 2.4.1 ; arrêts du Tribunal fédéral 2C_489/2018 du 13 juillet 2018 consid. 2.2.4). Lorsqu’un contribuable reçoit une taxation sur un revenu nul et qu'il n'a en conséquence pas d'impôt à payer, le montant des pertes qui ont conduit à la taxation sur un revenu nul constitue uniquement un motif de la décision de taxation, de sorte que ce montant ne bénéficie pas de la force de chose jugée matérielle. Par conséquent, dans la mesure où un contribuable souhaite que le montant de la perte à reporter sur la période fiscale suivante soit arrêté, un intérêt actuel digne de protection lui fait défaut. Le montant du report de pertes doit être examiné dans les périodes subséquentes, lors desquelles un bénéfice imposable est taxé (arrêt du Tribunal fédéral 2C_987/2020 du 22 juin 2021 consid. 1.3).</w:t>
      </w:r>
    </w:p>
    <w:p>
      <w:r>
        <w:rPr>
          <w:b/>
        </w:rPr>
        <w:t>E. 3</w:t>
      </w:r>
    </w:p>
    <w:p>
      <w:r>
        <w:t>En l’espèce, par bordereaux IFD 2018, 2019 et 2020, l'AFC-GE n’a fixé aucun impôt sur le bénéfice. Les reprises qu’elle a opérées n’impactent que le montant du capital propre, lequel n’est pas soumis à l’IFD, mais uniquement à l’ICC. Ainsi, si</w:t>
      </w:r>
    </w:p>
    <w:p>
      <w:r>
        <w:t>- 9/12 - A/2377/2023 les conclusions de la recourante étaient admises, elles n'entraîneraient aucune diminution de l’IFD, de sorte que, conformément à la jurisprudence citée plus haut, elles doivent être déclarées irrecevables en tant qu’elles concernent cet impôt. Il en résulte que le recours n’est recevable qu’en tant qu’il concerne l’ICC.</w:t>
      </w:r>
    </w:p>
    <w:p>
      <w:r>
        <w:rPr>
          <w:b/>
        </w:rPr>
        <w:t>E. 4</w:t>
      </w:r>
    </w:p>
    <w:p>
      <w:r>
        <w:t>Aux termes de l'art. 12 al. 1 de la loi sur l’imposition des personnes morales (LIPM - D 3 15), sont notamment considérés comme bénéfice net imposable les sommes affectées à des fonds de réserves (let. b), les amortissements et les provisions qui ne sont pas justifiés par l’usage commercial (let. e).</w:t>
      </w:r>
    </w:p>
    <w:p>
      <w:r>
        <w:t>Selon l’art. 16A LIPM, les amortissements des actifs justifiés par l’usage commercial sont autorisés, à condition qu’ils soient comptabilisés ou, en cas de tenue d’une comptabilité simplifiée en vertu de l’art. 957 al. 2 du Code civil suisse (CO, Code des obligations – RS 220), qu’ils apparaissent dans un plan spécial d’amortissements (al. 1). En général, les amortissements sont calculés sur la base de la valeur effective des différents éléments de fortune ou doivent être répartis en fonction de la durée probable d’utilisation de chacun de ces éléments (al. 2). Les amortissements opérés sur des actifs qui ont été réévalués afin de compenser des pertes ne sont admis que si les réévaluations étaient autorisées par le droit commercial et que les pertes pouvaient être déduites conformément à l’art. 19 al. 1 LIPM, au moment de l’amortissement (al. 3).</w:t>
      </w:r>
    </w:p>
    <w:p>
      <w:r>
        <w:rPr>
          <w:b/>
        </w:rPr>
        <w:t>E. 5</w:t>
      </w:r>
    </w:p>
    <w:p>
      <w:r>
        <w:t>Les comptes, et notamment le compte de résultats, établis conformément aux règles du droit commercial lient les autorités fiscales à moins que le droit fiscal ne prévoie des règles correctrices particulières (principe de l'autorité du bilan commercial ou de déterminance). L'autorité du bilan commercial tombe lorsque des normes impératives du droit commercial sont violées ou que des normes fiscales correctrices l'exigent, telle que l’art. 12 LIPM (cf. arrêt du Tribunal fédéral 2C_132/2020 du 26 novembre 2020 consid. 7.2, non publié in ATF 147 II 155 et les arrêts cités).</w:t>
      </w:r>
    </w:p>
    <w:p>
      <w:r>
        <w:rPr>
          <w:b/>
        </w:rPr>
        <w:t>E. 6</w:t>
      </w:r>
    </w:p>
    <w:p>
      <w:r>
        <w:t>S'agissant de l'évaluation de participations dans des sociétés non cotées, le Tribunal fédéral se réfère et applique la circulaire n° 28, non seulement pour l'impôt sur la fortune, mais également lorsqu'il s'agit de procéder à l'estimation de la valeur vénale de titres non cotés dans le contexte de l'impôt sur le bénéfice et de l'impôt sur le revenu (arrêt 2C_132/2020 précité consid. 8.1.2). La circulaire n° 28 prévoit que pour les titres qui ont fait l'objet d'un transfert substantiel entre tiers indépendants, la valeur vénale correspond généralement au prix d'acquisition (chap. A/2, ch. 5). Le prix obtenu lors d'un tel transfert n'est toutefois à prendre en considération que s'il permet de déterminer une valeur vénale représentative et plausible de la société, situation qui doit être examinée selon l'ensemble des circonstances (chap. A/2, ch. 5 et commentaire de la circulaire, p. 4). La valeur vénale déterminée conformément à ce qui précède est conservée aussi longtemps que la situation économique de la société n'aura pas considérablement changé (chap. A/2, ch. 5). Selon le commentaire accompagnant la circulaire n° 28,</w:t>
      </w:r>
    </w:p>
    <w:p>
      <w:r>
        <w:t>- 10/12 - A/2377/2023 les critères déterminants permettant de juger d'un changement de la situation économique d'une entreprise sont le bénéfice, le chiffre d'affaires, les fonds propres et les rapports de participation. En règle générale, doivent être qualifiés de considérables une variation du chiffre d'affaires de 20%, une variation du capital de 10% qui ne résulterait pas du bénéfice ordinaire ou un changement dans les rapports de participations à hauteur de 10%. Si l'une de ces conditions est remplie, l'estimation doit être revue (p. 4).</w:t>
      </w:r>
    </w:p>
    <w:p>
      <w:r>
        <w:rPr>
          <w:b/>
        </w:rPr>
        <w:t>E. 7</w:t>
      </w:r>
    </w:p>
    <w:p>
      <w:r>
        <w:t>Les amortissements des actifs justifiés par l'usage commercial sont autorisés, à condition que ceux-ci soient comptabilisés ou, à défaut d'une comptabilité tenue selon l'usage commercial, qu'ils apparaissent dans un plan spécial d'amortissements. Un amortissement est justifié par l'usage commercial dans la mesure où il permet de tenir compte d'une véritable moins-value d'un poste au bilan (arrêt du Tribunal fédéral 2C_132/2020 précité consid. 8.2.1). Les participations représentent des immobilisations pour leur détenteur qui, s'il s'agit d'une société anonyme, ne doit pas les évaluer à un montant supérieur à leur prix d'achat ou de revient. Dans la mesure où elles subissent une moins-value durable, elles doivent faire l'objet d'amortissements correspondants (ATF 119 Ib 116 consid. 3c). Un amortissement sur une participation suppose ordinairement une baisse de valeur de la société (Robert DANON, in Commentaire romand, Impôt fédéral direct, 2e éd. 2017, no 44). Toutefois, l'amortissement d'une participation peut dans certains cas aussi être possible fiscalement indépendamment d'une baisse de valeur, soit indépendamment de la situation et des pertes de la société achetée. Par exemple, l'acquéreur qui recherche de nouvelles parts de marché devrait pouvoir amortir la part du prix des actions correspondant à son investissement et comptabiliser l'amortissement comme une charge de marketing (arrêt du Tribunal 2C_132/2020 précité consid. 8.2.2 et les réf. citées).</w:t>
      </w:r>
    </w:p>
    <w:p>
      <w:r>
        <w:rPr>
          <w:b/>
        </w:rPr>
        <w:t>E. 8</w:t>
      </w:r>
    </w:p>
    <w:p>
      <w:r>
        <w:t>En ce qui concerne le fardeau de la preuve, il appartient à l'autorité fiscale de démontrer l'existence d'éléments créant ou augmentant la charge fiscale, alors qu'il incombe au contribuable d'apporter la preuve des faits de nature à réduire ou éteindre son obligation fiscale (cf. ATF 143 II 661 consid. 7.2). S'agissant des personnes morales, le bénéfice imposable est celui qui ressort du compte de résultats, si les comptes ont été établis conformément aux règles du droit commercial, à moins que le droit fiscal ne prévoie des règles correctrices particulières. S'il existe une présomption selon laquelle une comptabilité établie conformément aux dispositions du droit commercial est exacte, il n'en demeure pas moins que l'autorité de taxation est habilitée à demander des renseignements à la personne morale contribuable, afin de vérifier que l'imposition peut bien avoir lieu sur la base des comptes produits. En effet, dans la procédure de taxation, le contribuable est soumis à un devoir étendu de collaboration (arrêt du Tribunal fédéral 2C_132/2020 précité consid. 8.2.3).</w:t>
      </w:r>
    </w:p>
    <w:p>
      <w:r>
        <w:rPr>
          <w:b/>
        </w:rPr>
        <w:t>E. 9</w:t>
      </w:r>
    </w:p>
    <w:p>
      <w:r>
        <w:t>En l’espèce, dans sa demande de ruling du 20 mai 2016, la recourante a affirmé que ses participations étaient comptabilisées « largement » en dessous de leur valeur</w:t>
      </w:r>
    </w:p>
    <w:p>
      <w:r>
        <w:t>- 11/12 - A/2377/2023 vénale, ce que corrobore le prix de leur vente en juin de cette année (CHF 125'000'000.-). Ce prix d'acquisition, fixé entre tiers indépendants sur le marché libre, représentait en principe leur valeur vénale. Un amortissement n'était dès lors envisageable qu'en cas de perte de valeur des participations ou d'achat à un prix surfait. Or, en 2017 déjà, la recourante a amorti ses participations à concurrence de CHF 32'650'000.-, expliquant, à la demande de l'AFC-GE, avoir dû le faire en raison des résultats inférieures réalisés postérieurement à son acquisition en 2016. Elle n’a pourtant pas remis en cause le refus de cet amortissement pour l’exercice 2017, à concurrence de CHF 30'324'588.-. Elle s’est ensuite prévalue de ce même amortissement lors des trois exercices subséquents (2018, 2019 et 2020), soutenant, dans sa réclamation, que l’estimation des participations ne pouvait s’effectuer selon la circulaire n° 28, mais uniquement en fonction de leurs fonds propres. Dans son recours cependant, elle se prévaut précisément de cette directive pour, finalement, faire valoir des amortissements moins élevés que ceux comptabilisés initialement, soit CHF 21'850'288.- (2018), CHF 2'204'741.- (2019) et CHF 6'268'603.- (2020). Dans ces conditions, on ne saurait admettre que ces amortissements ont été correctement comptabilisés. En tout état, la recourante n’a pas démontré que les participations en cause auraient effectivement subi une moins-value durable. Au contraire, comme relevé par l'AFC-GE, il ressort du dossier qu’entre 2016 et 2018, les fonds propres de ses filiales ont considérablement augmenté, passant d’environ CHF 45 millions en 2016 à plus de CHF 57 millions en 2018. La recourante ne prétend pas que tel n’aurait pas été le cas entre 2019 et 2020, étant relevé qu’elle n’a pas produit les comptes de ses filiales pour ces deux exercices, de sorte que le tribunal n’est pas en mesure de vérifier les chiffres qu’elle avance pour ces années. Ces éléments ne tendent ainsi pas à confirmer la baisse de rentabilité qu’elle fait valoir. Cette tendance à la hausse est en revanche confirmée par le bénéfice de CHF 4,2 millions que le groupe a réalisé en 2018. Seule perte de CHF 1,3 millions que ce dernier aurait subie en 2019 ne saurait justifier un amortissement des participations à hauteur de plus de CHF 30 millions. Au vu de l'ensemble de ces éléments, il ne peut ainsi être retenu que la recourante aurait subi une diminution significative de sa situation économique justifiant les amortissements litigieux. Enfin, elle ne démontre pas que ses participations auraient été acquises à un prix surfait en 2016, ce qui aurait pu expliquer les amortissements en cause. Au vu de ce qui précède, les décisions contestées doivent être confirmées.</w:t>
      </w:r>
    </w:p>
    <w:p>
      <w:r>
        <w:rPr>
          <w:b/>
        </w:rPr>
        <w:t>E. 10</w:t>
      </w:r>
    </w:p>
    <w:p>
      <w:r>
        <w:t>Partant, le recours sera rejeté, dans la mesure de sa recevabilité.</w:t>
      </w:r>
    </w:p>
    <w:p>
      <w:r>
        <w:rPr>
          <w:b/>
        </w:rPr>
        <w:t>E. 11</w:t>
      </w:r>
    </w:p>
    <w:p>
      <w:r>
        <w:t>En application des art. 144 al. 1 LIFD, 52 al. 1 LPFisc, 87 al. 1 LPA et 1 et 2 du règlement sur les frais, émoluments et indemnités en procédure administrative du 30 juillet 1986 (RFPA - E 5 10.03), la recourante, qui succombe, est condamnée au paiement d’un émolument s'élevant à CHF 1’500.- ; il est couvert par l’avance de frais de CHF 2'000.- versée à la suite du dépôt du recours. Le solde de cette avance, soit CHF 500.-, lui sera restitué.</w:t>
      </w:r>
    </w:p>
    <w:p>
      <w:r>
        <w:t>- 12/12 - A/2377/2023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