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JTAPI/777/2024 vom 8. August 2024</w:t>
      </w:r>
    </w:p>
    <w:p>
      <w:r>
        <w:t>GE Cour de justice, 2024-08-08, FR</w:t>
      </w:r>
    </w:p>
    <w:p>
      <w:r>
        <w:rPr>
          <w:b/>
        </w:rPr>
        <w:t xml:space="preserve">Quelle: </w:t>
      </w:r>
      <w:r>
        <w:t>https://mcp.opencaselaw.ch/entscheid/ge_gerichte_JTAPI_777_2024</w:t>
      </w:r>
    </w:p>
    <w:p>
      <w:r>
        <w:t>FR: GE_GERICHTE JTAPI/777/2024 du 8 août 2024</w:t>
      </w:r>
    </w:p>
    <w:p>
      <w:r>
        <w:t>IT: GE_GERICHTE JTAPI/777/2024 del 8 agosto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t>- 4/6 - A/2589/2024</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Toute d’abord, il sied de relever que la mesure d’éloignement a été prise pour une durée de huit jours et non pas de dix jours, comme le minimum légal le prévoit (art. 8 al. 3 LVD). Il s’agit certainement d’une erreur de plume. Il faut donc comprendre que la mesure d’éloignement a été prononcée par le commissaire de</w:t>
      </w:r>
    </w:p>
    <w:p>
      <w:r>
        <w:t>- 5/6 - A/2589/2024 police jusqu’au 18 août 2024 à 4h00 et non pas jusqu’au 16 août 2024 à 4h00, comme indiqué par erreur dans la décision contestée. Au fond, il apparait que le couple connait des difficultés et que la situation s'est dégradée dernièrement. S'agissant de la violence physique, les versions données par les parties diffèrent partiellement. Cela étant, les déclarations circonstanciées et crédibles de Mme B______ sont corroborées par les photographies annexées au rapport de police. Elle n’exagère pas et admet spontanément avoir poussé son époux. De son côté, M. A______ admet avoir giflé à deux reprises son épouse, lui provoquant une marque au visage mais minimise son implication lorsqu’il nie les autres faits qui lui sont reprochés, au vu notamment des blessures constatées sur le nez et les lèvres de son épouse. Dans ces circonstances, vu en particulier le caractère récent des événements et de la tension qui entache les rapports des parties, la perspective qu'ils se retrouvent immédiatement sous le même toit apparaît inopportune, quand bien même il est évident qu'une mesure d'éloignement administrative ne permettra pas, à elle seule, de régler la situation.</w:t>
      </w:r>
    </w:p>
    <w:p>
      <w:r>
        <w:rPr>
          <w:b/>
        </w:rPr>
        <w:t>E. 6</w:t>
      </w:r>
    </w:p>
    <w:p>
      <w:r>
        <w:t>Par conséquent, l'opposition sera rejetée et la mesure d'éloignement confirmée dans son principe et sa durée.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- 6/6 - A/2589/2024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