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JTAPI/776/2024 vom 14. August 2024</w:t>
      </w:r>
    </w:p>
    <w:p>
      <w:r>
        <w:t>GE Cour de justice, 2024-08-14, FR</w:t>
      </w:r>
    </w:p>
    <w:p>
      <w:r>
        <w:rPr>
          <w:b/>
        </w:rPr>
        <w:t xml:space="preserve">Quelle: </w:t>
      </w:r>
      <w:r>
        <w:t>https://mcp.opencaselaw.ch/entscheid/ge_gerichte_JTAPI_776_2024</w:t>
      </w:r>
    </w:p>
    <w:p>
      <w:r>
        <w:t>FR: GE_GERICHTE JTAPI/776/2024 du 14 août 2024</w:t>
      </w:r>
    </w:p>
    <w:p>
      <w:r>
        <w:t>IT: GE_GERICHTE JTAPI/776/2024 del 14 agosto 2024</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 anciennement dénommée loi fédérale sur les étrangers - LEtr),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rPr>
          <w:b/>
        </w:rPr>
        <w:t>E. 3</w:t>
      </w:r>
    </w:p>
    <w:p>
      <w:r>
        <w:t>Le tribunal statue alors dans les huit jours ouvrables qui suivent sa saisine sur la demande de levée de détention (art. 9 al. 4 LaLEtr).</w:t>
      </w:r>
    </w:p>
    <w:p>
      <w:r>
        <w:rPr>
          <w:b/>
        </w:rPr>
        <w:t>E. 3.1</w:t>
      </w:r>
    </w:p>
    <w:p>
      <w:r>
        <w:t>; arrêt du Tribunal fédéral 2C_1139/2012 du 21 décembre 2012 consid. 3.2 ; ATA/315/2014 du 2 mai 2014).</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4.2</w:t>
      </w:r>
    </w:p>
    <w:p>
      <w:r>
        <w:t>;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w:t>
      </w:r>
    </w:p>
    <w:p>
      <w:r>
        <w:t>- 11/14 - A/2596/2024 fuite (arrêt du Tribunal fédéral 2C_478/2012 du 14 juin 2012 consid. 2.2 et les références citées).</w:t>
      </w:r>
    </w:p>
    <w:p>
      <w:r>
        <w:rPr>
          <w:b/>
        </w:rPr>
        <w:t>E. 5</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w:t>
      </w:r>
    </w:p>
    <w:p>
      <w:r>
        <w:t>- 8/14 - A/2596/2024 125 I 474 consid. 3 et les arrêts cités ; arrêt du Tribunal fédéral 1P.269/2001 du 7 juin 2001 consid. 2c ; ATA/752/2012 du 1er novembre 2012 consid. 7).</w:t>
      </w:r>
    </w:p>
    <w:p>
      <w:r>
        <w:rPr>
          <w:b/>
        </w:rPr>
        <w:t>E. 6</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7</w:t>
      </w:r>
    </w:p>
    <w:p>
      <w:r>
        <w:t>Selon l’art. 17 al. 1 LPA, les délais commencent à courir le lendemain de leur communication ou de l’événement qui les déclenche. Les délais sont réputés observés lorsqu’une partie s’adresse par erreur en temps utile à une autorité incompétente (art. 17 al. 5 LPA). Par exemple, le recours adressé à une autorité incompétente est transmis d’office à la juridiction administrative compétente et le recourant en est averti. L’acte est réputé déposé à la date à laquelle il a été adressé à la première autorité (art. 64 al. 2 LPA).</w:t>
      </w:r>
    </w:p>
    <w:p>
      <w:r>
        <w:rPr>
          <w:b/>
        </w:rPr>
        <w:t>E. 8</w:t>
      </w:r>
    </w:p>
    <w:p>
      <w:r>
        <w:t>La première autorité en question est d'ailleurs sensée transmettre l’acte de recours, ou la demande, à l’autorité compétente (ATF 123 II 231, consid. 8b), à moins que son champ de compétence soit différent à raison de la matière par exemple lorsque le justiciable dépose sa demande auprès d’une juridiction compétente en matière civile au lieu de l’adresser à un tribunal administratif (ATA/998/2014, consid. 4 ; ATA/752/2013, consid. 5 ; ATA/124/2012, consid. 1 ; ATA/201/2009, consid. 2).</w:t>
      </w:r>
    </w:p>
    <w:p>
      <w:r>
        <w:rPr>
          <w:b/>
        </w:rPr>
        <w:t>E. 9</w:t>
      </w:r>
    </w:p>
    <w:p>
      <w:r>
        <w:t>Il n’en demeure pas moins que l’obligation de transmission entre autorités, et parallèlement le respect du délai par le justiciable, trouve sa limite dans l’abus de droit. A noter qu’une erreur d’adressage ne constituera pas nécessairement un tel cas d’abus de droit. Un tel comportement pourra être retenu lorsque l’intéressé aura délibérément remis son recours à une autorité incompétente. Il en va de même lorsque les voies de recours sont clairement connues par le demandeur. C’est également le cas pour celui qui dépose sciemment ou paresseusement sa requête à une autorité incompétente. Il ne pourra alors pas se prévaloir de l'obligation de transmettre (ATF 140 III 636, consid. 3.6 et références citées ; ATF 111 V 406, consid. 2).</w:t>
      </w:r>
    </w:p>
    <w:p>
      <w:r>
        <w:rPr>
          <w:b/>
        </w:rPr>
        <w:t>E. 10</w:t>
      </w:r>
    </w:p>
    <w:p>
      <w:r>
        <w:t>Les règles entourant les mesures de contrainte représentent des garanties minimales de procédure importantes qui s’imposent en principe ou d’office et de manière contraignante aux autorités concernées. Tel est notamment le cas des délais prescrits à l’autorité judiciaire pour examiner la légalité et l’adéquation d’une première détention au sens de l’art. 80 al. 2 LEI, ou comme en l’occurrence, pour se prononcer sur la demande de levée d’une telle mesure eu égard à l’art. 80 al. 5 LEI. Il ne s’agit pas de simples prescriptions d’ordre mais de délais impératifs (ATF 128 II 241, consid. 3.5).</w:t>
      </w:r>
    </w:p>
    <w:p>
      <w:r>
        <w:rPr>
          <w:b/>
        </w:rPr>
        <w:t>E. 11</w:t>
      </w:r>
    </w:p>
    <w:p>
      <w:r>
        <w:t>Toute violation des règles de procédure n’entraîne toutefois pas nécessairement la libération de l’étranger détenu au titre des mesures de contrainte. Il faut notamment</w:t>
      </w:r>
    </w:p>
    <w:p>
      <w:r>
        <w:t>- 9/14 - A/2596/2024 tenir compte de l’importance de la règle violée pour la sauvegarde des droits de l’intéressé, étant précisé que les samedi, dimanche et jours fériés n’entrent pas dans le calcul du délai de l’art. 80 al. 5 LEI. Par ailleurs, l’intérêt à garantir l’efficacité d’un renvoi peut s’opposer à une remise en liberté immédiate. Cet intérêt pèse d’un poids tout particulier et peut l’emporter, dans la balance, lorsque l’étranger constitue un danger pour l’ordre et la sécurité publics (TF 2C_356/2009 du 7 juillet 2009, consid. 5.4).</w:t>
      </w:r>
    </w:p>
    <w:p>
      <w:r>
        <w:rPr>
          <w:b/>
        </w:rPr>
        <w:t>E. 12</w:t>
      </w:r>
    </w:p>
    <w:p>
      <w:r>
        <w:t>En l'espèce, l’intéressé a formulé une première demande datée du 26 juillet 2024, reçue le 30 juillet 2024 par le Tribunal de première instance civil, laquelle lui a été renvoyée par défaut de compétence. L’intéressé a, à nouveau, renvoyé sa demande auprès du Tribunal de première instance civil reçue le 8 août 2024, laquelle a été finalement transmise au Tribunal administratif de première instance qui l’a reçue le 9 août 2024.</w:t>
      </w:r>
    </w:p>
    <w:p>
      <w:r>
        <w:rPr>
          <w:b/>
        </w:rPr>
        <w:t>E. 13</w:t>
      </w:r>
    </w:p>
    <w:p>
      <w:r>
        <w:t>L’intéressé ne saurait ignorer que sa détention administrative a été examinée par le Tribunal administratif de première instance par jugement du 14 juin 2024 (JTAPI/581/2024), et non pas par le Tribunal de première instance civil qui ne ressort au demeurant pas de la même juridiction (art. 1 de la loi sur l’organisation judiciaire du 26 septembre 2010 ; E 2 05 - LOJ).</w:t>
      </w:r>
    </w:p>
    <w:p>
      <w:r>
        <w:rPr>
          <w:b/>
        </w:rPr>
        <w:t>E. 14</w:t>
      </w:r>
    </w:p>
    <w:p>
      <w:r>
        <w:t>Partant, il a lieu de retenir que la demande de levée de la détention administrative formée par M. A______ a effectivement été déposée le 8 août 2024.</w:t>
      </w:r>
    </w:p>
    <w:p>
      <w:r>
        <w:rPr>
          <w:b/>
        </w:rPr>
        <w:t>E. 15</w:t>
      </w:r>
    </w:p>
    <w:p>
      <w:r>
        <w:t>En outre, M. A______ ayant été condamné notamment pour brigandage (art. 140 CP) par jugement du Tribunal de police du 21 novembre 2022, il constitue un danger pour l’ordre et la sécurité publics. Ainsi, l’intérêt public à son maintien en détention l’emporte sur sa libération, si même l’on devait considérer un dépassement du délai de l’art. 80 al. 5 LEI de l’ordre de deux jours.</w:t>
      </w:r>
    </w:p>
    <w:p>
      <w:r>
        <w:rPr>
          <w:b/>
        </w:rPr>
        <w:t>E. 16</w:t>
      </w:r>
    </w:p>
    <w:p>
      <w:r>
        <w:t>Partant, la demande de levée de la détention administrative est recevable, et la décision du tribunal intervient en tout état de cause dans le respect du délai légal susmentionné.</w:t>
      </w:r>
    </w:p>
    <w:p>
      <w:r>
        <w:rPr>
          <w:b/>
        </w:rPr>
        <w:t>E. 17</w:t>
      </w:r>
    </w:p>
    <w:p>
      <w:r>
        <w:t>L'art. 76 al. 1 let. b ch. 1 LEI, renvoyant à l'art. 75 al. 1 let. h de cette même loi, dispose qu’après notification d’une décision de première instance de renvoi ou d’expulsion au sens de la présente loi ou d’une décision de première instance d’expulsion obligatoire au sens des art. 66a ou 66abis CP195 ou 49a ou 49abis CPM, l'autorité compétente peut, afin d’en assurer l’exécution, mettre en détention la personne concernée qui a été condamnée pour crime, par quoi il faut entendre une infraction passible d'une peine privative de liberté de plus de trois ans (cf. art. 10 al. 2 CP ; ATA/220/2018 du 8 mars 2018 consid. 4a ; ATA/997/2016 du 23 novembre 2016 consid. 4a ; ATA/295/2011 du 12 mai 2011 consid. 4).</w:t>
      </w:r>
    </w:p>
    <w:p>
      <w:r>
        <w:rPr>
          <w:b/>
        </w:rPr>
        <w:t>E. 18</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w:t>
      </w:r>
    </w:p>
    <w:p>
      <w:r>
        <w:t>- 10/14 - A/2596/2024 de collaborer (ch. 3) ou si son comportement permet de conclure qu'elle se refuse à obtempérer aux instructions des autorités (ch. 4).</w:t>
      </w:r>
    </w:p>
    <w:p>
      <w:r>
        <w:rPr>
          <w:b/>
        </w:rPr>
        <w:t>E. 19</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20</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w:t>
      </w:r>
    </w:p>
    <w:p>
      <w:r>
        <w:rPr>
          <w:b/>
        </w:rPr>
        <w:t>E. 21</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22</w:t>
      </w:r>
    </w:p>
    <w:p>
      <w:r>
        <w:t>Comme le prévoit expressément l'art. 76 al. 1 let. b ch. 3 LEI, il faut qu'il existe des éléments concrets en ce sens (ATF 140 II 1 consid. 5.3 ; arrêts du Tribunal fédéral 2C_256/2013 du 10 avril 2013 consid. 4.2 ; 2C_142/2013 du 1er mars 2013 consid.</w:t>
      </w:r>
    </w:p>
    <w:p>
      <w:r>
        <w:rPr>
          <w:b/>
        </w:rPr>
        <w:t>E. 23</w:t>
      </w:r>
    </w:p>
    <w:p>
      <w:r>
        <w:t>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w:t>
      </w:r>
    </w:p>
    <w:p>
      <w:r>
        <w:rPr>
          <w:b/>
        </w:rPr>
        <w:t>E. 24</w:t>
      </w:r>
    </w:p>
    <w:p>
      <w:r>
        <w:t>Si l'étranger a la possibilité de se rendre légalement dans plusieurs États, l'autorité compétente peut le renvoyer ou l'expulser dans le pays de son choix (art. 69 al. 2 LEI). La possibilité de choisir le pays de destination présuppose toutefois que l'étranger a la possibilité de se rendre de manière effective et admissible dans chacun des pays concernés par son choix. Cela implique qu'il se trouve en possession des titres de voyage nécessaires et que le transport soit garanti.</w:t>
      </w:r>
    </w:p>
    <w:p>
      <w:r>
        <w:rPr>
          <w:b/>
        </w:rPr>
        <w:t>E. 25</w:t>
      </w:r>
    </w:p>
    <w:p>
      <w:r>
        <w:t>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w:t>
      </w:r>
    </w:p>
    <w:p>
      <w:r>
        <w:rPr>
          <w:b/>
        </w:rPr>
        <w:t>E. 26</w:t>
      </w:r>
    </w:p>
    <w:p>
      <w:r>
        <w:t>En l’espèce, la légalité de la détention de l’intéressé a déjà été confirmée par le tribunal notamment dans son jugement du 14 juin 2024 (JTAPI/581/2024).</w:t>
      </w:r>
    </w:p>
    <w:p>
      <w:r>
        <w:rPr>
          <w:b/>
        </w:rPr>
        <w:t>E. 27</w:t>
      </w:r>
    </w:p>
    <w:p>
      <w:r>
        <w:t>Pour rappel, l’intéressé a fait l’objet d’une décision d’expulsion de Suisse d’une durée de 5 ans prononcée par le Tribunal de police le 21 novembre 2022 définitive et exécutoire.</w:t>
      </w:r>
    </w:p>
    <w:p>
      <w:r>
        <w:rPr>
          <w:b/>
        </w:rPr>
        <w:t>E. 28</w:t>
      </w:r>
    </w:p>
    <w:p>
      <w:r>
        <w:t>Il a par ailleurs été condamné pénalement à plusieurs reprises, en particulier pour brigandage, soit un crime au sens de l’art. 10 al. 2 CP. Sa détention administrative reste justifiée sur la base des art. 76 al. 1 let. b ch. 1 et 75 al. 1 let. g LEI.</w:t>
      </w:r>
    </w:p>
    <w:p>
      <w:r>
        <w:rPr>
          <w:b/>
        </w:rPr>
        <w:t>E. 29</w:t>
      </w:r>
    </w:p>
    <w:p>
      <w:r>
        <w:t>L’intéressé ne dispose d'aucun titre de séjour qui lui permettrait de se rendre dans toute autre État que son pays d'origine (cf. ATA/364/2015 du 20 avril 2015 consid 5). La première condition posée par l'art. 76 al. 1 LEI est ainsi toujours réalisée.</w:t>
      </w:r>
    </w:p>
    <w:p>
      <w:r>
        <w:t>- 12/14 - A/2596/2024</w:t>
      </w:r>
    </w:p>
    <w:p>
      <w:r>
        <w:rPr>
          <w:b/>
        </w:rPr>
        <w:t>E. 30</w:t>
      </w:r>
    </w:p>
    <w:p>
      <w:r>
        <w:t>Aussi, l'intérêt public à son départ n'a pas disparu et aucune mesure moins incisive que la détention administrative n'est susceptible d'assurer son expulsion dans son pays d'origine au vu de sa situation et de son comportement laissant présager le risque qu’il disparaisse dans la clandestinité s’il devait être libéré.</w:t>
      </w:r>
    </w:p>
    <w:p>
      <w:r>
        <w:rPr>
          <w:b/>
        </w:rPr>
        <w:t>E. 31</w:t>
      </w:r>
    </w:p>
    <w:p>
      <w:r>
        <w:t>Il pourrait donc décider de lui-même qu'il soit mis un terme à sa détention en acceptant de retourner au Maroc.</w:t>
      </w:r>
    </w:p>
    <w:p>
      <w:r>
        <w:rPr>
          <w:b/>
        </w:rPr>
        <w:t>E. 32</w:t>
      </w:r>
    </w:p>
    <w:p>
      <w:r>
        <w:t>Le grief de l’intéressé sera partant écarté.</w:t>
      </w:r>
    </w:p>
    <w:p>
      <w:r>
        <w:rPr>
          <w:b/>
        </w:rPr>
        <w:t>E. 33</w:t>
      </w:r>
    </w:p>
    <w:p>
      <w:r>
        <w:t>Quant à l’art. 83 al. 4 LEI, relatif à l’inexigibilité du renvoi, il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2010/54 consid. 5.1 ; 2010/41 consid 8.3.6 ; 2009/52 consid. 10.1 ; arrêts du Tribunal administratif fédéral E-5092/2013 du 29 octobre 2013 consid 6.1 ; D-5085/2010 du 14 février 2013 consid. 4.1 ; D-5434/2009 du 4 février 2013 consid. 15.1 ; ATA/731/2015 du 14 juillet 2015 consid. 11a).</w:t>
      </w:r>
    </w:p>
    <w:p>
      <w:r>
        <w:rPr>
          <w:b/>
        </w:rPr>
        <w:t>E. 34</w:t>
      </w:r>
    </w:p>
    <w:p>
      <w:r>
        <w:t>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w:t>
      </w:r>
    </w:p>
    <w:p>
      <w:r>
        <w:rPr>
          <w:b/>
        </w:rPr>
        <w:t>E. 35</w:t>
      </w:r>
    </w:p>
    <w:p>
      <w:r>
        <w:t>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w:t>
      </w:r>
    </w:p>
    <w:p>
      <w:r>
        <w:t>- 13/14 - A/2596/2024</w:t>
      </w:r>
    </w:p>
    <w:p>
      <w:r>
        <w:rPr>
          <w:b/>
        </w:rPr>
        <w:t>E. 36</w:t>
      </w:r>
    </w:p>
    <w:p>
      <w:r>
        <w:t>Cela étant, il ne faut pas perdre de vue que le juge de la détention, dans le contrôle de celle-ci, doit en principe seulement s'assurer qu'une décision de renvoi existe, sans avoir à vérifier la légalité de cette dernière (ATF 129 I 139 consid. 4.3.2 ; arrêts du Tribunal fédéral 2C_47/2017 du 9 février 2017 consid. 5.2 ; 2C_1178/2016 du 3 janvier 2017 consid. 4.2 ; ATA/184/2017 du 15 février 2017 consid. 6).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LEtr, car l'exécution d'un tel ordre illicite ne doit pas être assurée par les mesures de contrainte (ATF 129 I 139 consid. 4.3.2 ; 125 II 217 consid. 2 ; arrêts du Tribunal fédéral 2C_47/2017 du 9 février 2017 consid. 5.2 ; 2C_1178/2016 du 3 janvier 2017 consid. 4.2 ; 2C_105/2016 du 8 mars 2016 consid. 7).</w:t>
      </w:r>
    </w:p>
    <w:p>
      <w:r>
        <w:rPr>
          <w:b/>
        </w:rPr>
        <w:t>E. 37</w:t>
      </w:r>
    </w:p>
    <w:p>
      <w:r>
        <w:t>En l'espèce, l'impossibilité du renvoi tiré de l’état de santé de l’intéressé n'apparait pas durablement incapacitante, d’autant que le médecin en charge de son évaluation au vol départ, l’a estimé apte sans même préconiser un suivi médical par un médecin dans le pays de destination. La présente procédure ne saurait donc revenir sur la question de la validité de la décision de renvoi d’autant que le dossier médical, versé par l’intéressé à la procédure, date pour l’essentiel d’avant le jugement du tribunal du 14 juin 2024 (JTAPI/581/2024).</w:t>
      </w:r>
    </w:p>
    <w:p>
      <w:r>
        <w:rPr>
          <w:b/>
        </w:rPr>
        <w:t>E. 38</w:t>
      </w:r>
    </w:p>
    <w:p>
      <w:r>
        <w:t>A teneur du dossier, la prise en charge médicale de son traitement psychiatrique pourra être assurée au Maroc et ses troubles n’apparaissent pas comme suffisamment graves à constituer un empêchement à la procédure de renvoi (cf. not. arrêts du Tribunal fédéral 2D_66/2011 du 13 décembre 2011 consid. 6.2 ; 2C_935/2011 du 7 décembre 2011 consid. 7.1 ; ATA/88/2012 du 15 février 2012 consid. 6 ; ATA/449/2011 du 20 juillet 2011 consid. 5).</w:t>
      </w:r>
    </w:p>
    <w:p>
      <w:r>
        <w:rPr>
          <w:b/>
        </w:rPr>
        <w:t>E. 39</w:t>
      </w:r>
    </w:p>
    <w:p>
      <w:r>
        <w:t>Au vu de ce qui précède, la demande de mise en liberté rejetée. En tant que de besoin, la détention administrative sera confirmée jusqu'au 10 septembre 2024, date jusqu'à laquelle elle a été prolongée selon jugement du tribunal du 14 juin 2024.</w:t>
      </w:r>
    </w:p>
    <w:p>
      <w:r>
        <w:rPr>
          <w:b/>
        </w:rPr>
        <w:t>E. 40</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- 14/14 - A/2596/2024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