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JTAPI/771/2025 vom 15. Juli 2025</w:t>
      </w:r>
    </w:p>
    <w:p>
      <w:r>
        <w:t>GE Cour de justice, 2025-07-15, FR</w:t>
      </w:r>
    </w:p>
    <w:p>
      <w:r>
        <w:rPr>
          <w:b/>
        </w:rPr>
        <w:t xml:space="preserve">Quelle: </w:t>
      </w:r>
      <w:r>
        <w:t>https://mcp.opencaselaw.ch/entscheid/ge_gerichte_JTAPI_771_2025</w:t>
      </w:r>
    </w:p>
    <w:p>
      <w:r>
        <w:t>FR: GE_GERICHTE JTAPI/771/2025 du 15 juillet 2025</w:t>
      </w:r>
    </w:p>
    <w:p>
      <w:r>
        <w:t>IT: GE_GERICHTE JTAPI/771/2025 del 15 luglio 2025</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c’est-à-dire dans le délai de dix jours, s’agissant d’une décision incidente (art. 4 al. 2 de la loi sur la procédure administrative du 12 septembre 1985 - LPA - E 5 10), car prise pendant le cours de la procédure et ne représentant qu’une étape vers la décision finale (cf. arrêt du Tribunal fédéral 1C_593/2012 du 28 mars 2013 consid. 1 ; cf. aussi ATA/765/2021 du 15 juillet 2021 consid. 1 et l'arrêt cité ; Cédric MIZEL, La preuve de l'aptitude à la conduite et les motifs autorisant une expertise, Circulation routière 3/2019, p. 35 ; cf. encore, par analogie, ATF 122 II 359 consid. 1b ; arrêts du Tribunal fédéral 1C_212/2021 du 16 juin 2021 consid. 1.1 ; 1C_154/2018 du 4 juillet 2018 consid. 1.1 et</w:t>
      </w:r>
    </w:p>
    <w:p>
      <w:r>
        <w:t>- 5/12 - A/1174/2025 1C_514/2016 du 16 janvier 2017 consid. 1.1, portant sur le retrait à titre préventif du permis de conduire), et devant la juridiction compétente, le recours est recevable de ces points de vue (art. 115 et 116 LOJ ; art. 17 LaLCR ; art. 17 al. 1, 3 et 4, 57 let. c, 62 al. 1 let. b, 62 al. 3 1ère phr. et 63 al. 1 let. c LPA). 3. À teneur de l'art. 57 let. c LPA, les décisions incidentes sont susceptibles de recours si elles peuvent causer un préjudice irréparable ou si l'admission du recours peut conduire immédiatement à une décision finale qui permet d'éviter une procédure probatoire longue et coûteuse. 4.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133 II 353 consid. 1 ; arrêt du Tribunal fédéral 1C_593/2012 du 28 mars 2013 consid. 1 ; ATA/765/2021 du 15 juillet 2021 consid. 2).</w:t>
      </w:r>
    </w:p>
    <w:p>
      <w:r>
        <w:rPr>
          <w:b/>
        </w:rPr>
        <w:t>E. 5</w:t>
      </w:r>
    </w:p>
    <w:p>
      <w:r>
        <w:t>Selon la jurisprudence, une décision est susceptible de causer un préjudice irréparable si le recourant encourt un retrait provisoire du permis de conduire et doit avancer les frais de l'examen médical auquel il doit se soumettre et qui ne lui seront peut-être pas restitués (arrêts du Tribunal fédéral 1C_531/2016 du 22 février 2017 consid. 1 ; 1C_248/2011 du 30 janvier 2012 consid. 1 et les références ; 1C_593/2012 du 28 mars 2013 consid. 1 ; cf. également arrêt 1C_328/2011 du 8 mars 2012 consid. 1).</w:t>
      </w:r>
    </w:p>
    <w:p>
      <w:r>
        <w:rPr>
          <w:b/>
        </w:rPr>
        <w:t>E. 6</w:t>
      </w:r>
    </w:p>
    <w:p>
      <w:r>
        <w:t>En l'occurrence, le recourant ne s'est aucunement prononcé sur cette question, alors qu'il lui incombait de le faire. Néanmoins, dès lors que ladite décision stipule, conformément à ce que prévoit l'art. 45 du règlement sur les émoluments de l’office cantonal des véhicules du 15 décembre 1982 (REmOCV - H 1 05.08), que les frais d'expertise seront à sa charge (cf. à cet égard art. 9 al. 1 let. d du règlement du centre universitaire romand de médecine légale, site de Genève, du 25 septembre 2013 - RCURML - K 1 55.04), qu'il devra (très vraisemblablement) s'acquitter d'une avance et que s'il ne se soumet pas à l'expertise, son permis de conduire lui sera retiré, la condition de l'art. 57 let. c LPA apparaît réalisée, si bien qu'il convient d'entrer en matière (cf. arrêts du Tribunal fédéral 1C_531/2016 du 22 février 2017 consid. 1 ; 1C_593/2012 du 28 mars 2013 consid. 1).</w:t>
      </w:r>
    </w:p>
    <w:p>
      <w:r>
        <w:rPr>
          <w:b/>
        </w:rPr>
        <w:t>E. 7</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w:t>
      </w:r>
    </w:p>
    <w:p>
      <w:r>
        <w:t>- 6/12 - A/1174/2025 tels que l'interdiction de l'arbitraire, l'inégalité de traitement, le principe de la bonne foi et le principe de la proportionnalité (ATF 140 I 257 consid. 6.3.1 ; 137 V 71 consid. 5.1 ; 123 V 150 consid. 2 ; arrêt du Tribunal fédéral 1C_107/2016 du 28 juillet 2016 consid. 9).</w:t>
      </w:r>
    </w:p>
    <w:p>
      <w:r>
        <w:rPr>
          <w:b/>
        </w:rPr>
        <w:t>E. 8</w:t>
      </w:r>
    </w:p>
    <w:p>
      <w:r>
        <w:t>Le recourant se plaint d'une violation de son droit d'être entendu par l'autorité intimée. À le suivre, l’OCV ne lui aurait pas donné l’occasion de s’exprimer avant sa prise de décision. L’autorité intimée indique quant à elle avoir adressé un courrier, envoyé par pli simple, au recourant en date du 10 décembre 2024 pour lui permettre de s’exprimer sur le rapport transmis par la police, ce courrier ne lui étant pas revenu en retour par la poste.</w:t>
      </w:r>
    </w:p>
    <w:p>
      <w:r>
        <w:rPr>
          <w:b/>
        </w:rPr>
        <w:t>E. 9</w:t>
      </w:r>
    </w:p>
    <w:p>
      <w:r>
        <w:t>Comme rappelé plus haut, le droit d’être entendu comprend notamment le droit, pour le justiciable de s'expliquer avant qu'une décision ne soit prise à son détriment.</w:t>
      </w:r>
    </w:p>
    <w:p>
      <w:r>
        <w:rPr>
          <w:b/>
        </w:rPr>
        <w:t>E. 10</w:t>
      </w:r>
    </w:p>
    <w:p>
      <w:r>
        <w:t>La jurisprudence a admis que la violation du droit d’être entendu peut être réparée devant une instance de recours disposant du même pouvoir d’examen que l’autorité intimée (ATF 135 I 279; 133 I 201; 132 V 387; 125 V 368; 124 V 180; ATA/530/2012 du 21 août 2012; ATA/452/2008 du 2 septembre 2008; ATA/430/2008 du 27 août et les références citées). Le Tribunal fédéral a toutefois souligné qu’une réparation devant l’autorité de recours doit rester l’exception (ATF 135 I 279, 285) et qu'elle n’entre pas en ligne de compte en présence d’une violation grave du droit d’être entendu (ATF 126 I 68; 125 V 368; 124 V 180). Une telle réparation peut toutefois se justifier, même en présence d’un vice grave, lorsque le renvoi constituerait une vaine formalité et aboutirait à un allongement inutile de la procédure, incompatible avec l’intérêt de la partie concernée à ce que sa cause soit tranchée dans un délai raisonnable (ATF 138 I 97 consid. 4.16.1 ; 137 I 195 consid. 2.3.2 ; 133 I 201 consid. 2.2 ; arrêts du Tribunal fédéral 8C_541/2017 du 14 mai 2018 consid. 2.2 ; 1C_502/2016 du 21 février 2018 consid. 2.1.1 et les références citées).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(ATA/1108/2018 du 17 octobre 2018 consid. 6a).</w:t>
      </w:r>
    </w:p>
    <w:p>
      <w:r>
        <w:rPr>
          <w:b/>
        </w:rPr>
        <w:t>E. 11</w:t>
      </w:r>
    </w:p>
    <w:p>
      <w:r>
        <w:t>En l’espèce, il ressort du dossier produit par l’OCV que le recourant a été interpellé suite à la transmission du rapport de police à l’autorité par courrier simple du 10 décembre 2024. Ce courrier a été envoyé à l’adresse mentionnée par le recourant et n’est pas revenu en retour à l’OCV. Cela étant, dès lors qu’il a été envoyé en courrier simple, l’OCV n’est pas en mesure de démontrer qu’il est bien arrivé dans la sphère de maîtrise du recourant et que, partant, son droit d’être entendu a été respecté. Toutefois, dès lors que le tribunal est à même d’examiner l’ensemble des griefs formulés, que l’OCV n’a pas statué en opportunité (cf. art. 61 al. 2 LPA) et que</w:t>
      </w:r>
    </w:p>
    <w:p>
      <w:r>
        <w:t>- 7/12 - A/1174/2025 dans le cadre de son recours et de sa réplique, le recourant a pu exposer son point de vue et faire valoir l’ensemble de ses griefs, il sera retenu que cette violation a été réparée dans le cadre de la présente procédure.</w:t>
      </w:r>
    </w:p>
    <w:p>
      <w:r>
        <w:rPr>
          <w:b/>
        </w:rPr>
        <w:t>E. 12</w:t>
      </w:r>
    </w:p>
    <w:p>
      <w:r>
        <w:t>Le recourant conteste la décision lui imposant de se soumettre à une expertise auprès d’un médecin de niveau 4 afin de déterminer son aptitude à la conduite des véhicules à moteur.</w:t>
      </w:r>
    </w:p>
    <w:p>
      <w:r>
        <w:rPr>
          <w:b/>
        </w:rPr>
        <w:t>E. 13</w:t>
      </w:r>
    </w:p>
    <w:p>
      <w:r>
        <w:t>Selon l'art. 14 al. 1 LCR, tout conducteur de véhicule automobile doit posséder l’aptitude et les qualifications nécessaires à la conduite. Est apte à la conduite, aux termes de l'art. 14 al. 2 LCR, celui qui a atteint l’âge minimal requis (let. a), a les aptitudes physiques et psychiques requises pour conduire un véhicule automobile en toute sécurité (let. b), ne souffre d’aucune dépendance qui l’empêche de conduire un véhicule automobile en toute sécurité (let. c) et dont les antécédents attestent qu’il respecte les règles en vigueur ainsi que les autres usagers de la route (let. d).</w:t>
      </w:r>
    </w:p>
    <w:p>
      <w:r>
        <w:rPr>
          <w:b/>
        </w:rPr>
        <w:t>E. 14</w:t>
      </w:r>
    </w:p>
    <w:p>
      <w:r>
        <w:t>Si l'aptitude à la conduite soulève des doutes, la personne concernée fera l'objet d'une enquête dans les cas énumérés de manière non exhaustive à l'art. 15d al. 1 let. a à e LCR (cf. arrêt du Tribunal fédéral 1C_531/2016 du 22 février 2017 consid. 2.1.1), notamment en cas d'infractions aux règles de la circulation dénotant un manque d'égards envers les autres usagers de la route (art. 15d al. 1 let. c LCR).</w:t>
      </w:r>
    </w:p>
    <w:p>
      <w:r>
        <w:rPr>
          <w:b/>
        </w:rPr>
        <w:t>E. 15</w:t>
      </w:r>
    </w:p>
    <w:p>
      <w:r>
        <w:t>Les faits objet des hypothèses de l’art. 15d al. 1 LCR fondent un soupçon préalable que l'aptitude à la conduite pourrait être réduite (cf. arrêt du Tribunal fédéral 1C_531/2016 du 22 février 2017 consid. 2.1.1 ; ATA/1138/2017 du 2 août 2017 consid. 5d et la référence). Si des indices concrets soulèvent des doutes quant à l'aptitude à la conduite de la personne concernée, un examen d'évaluation de l'aptitude à la conduite par un médecin et/ou un examen d'évaluation de l'aptitude à la conduite par un psychologue du trafic doivent être ordonnés (art. 28a al. 1 OAC ; arrêts du Tribunal fédéral 1C_41/2019 du 4 avril 2019 consid. 2.1 ; 1C_76/2017 du</w:t>
      </w:r>
    </w:p>
    <w:p>
      <w:r>
        <w:rPr>
          <w:b/>
        </w:rPr>
        <w:t>E. 19</w:t>
      </w:r>
    </w:p>
    <w:p>
      <w:r>
        <w:t>Avant d'ordonner un retrait de sécurité, l'autorité doit éclaircir d'office la situation de la personne concernée. En particulier, elle doit examiner l'incidence de la toxicomanie sur son comportement comme conducteur ainsi que le degré de la dépendance. En cas de doute, il y a lieu d'ordonner un examen médical (ATF 139 II 95 consid. 3.4.1 ; arrêt du Tribunal fédéral 1C_593/2012 du 28 mars 2013 consid. 3.1), l'intérêt public lié à la sécurité routière commandant en effet que l'on procède à un examen approfondi à chaque fois qu'il existe suffisamment d'éléments pour faire naître un doute au sujet de l'aptitude à la conduite (arrêts du Tribunal fédéral</w:t>
      </w:r>
    </w:p>
    <w:p>
      <w:r>
        <w:t>- 9/12 - A/1174/2025 1C_593/2012 du 28 mars 2013 consid. 3.3 ; 1C_282/2007 du 13 février 2008 consid. 2.4). Un tel doute peut reposer sur de simples indices, en particulier lorsqu'il en va d'une dépendance en matière de produits stupéfiants (cf. arrêt du Tribunal fédéral 1C_593/2012 du 28 mars 2013 consid. 3.1).</w:t>
      </w:r>
    </w:p>
    <w:p>
      <w:r>
        <w:rPr>
          <w:b/>
        </w:rPr>
        <w:t>E. 20</w:t>
      </w:r>
    </w:p>
    <w:p>
      <w:r>
        <w:t>La jurisprudence considère que les mesures appropriées à cet effet, notamment l'opportunité d'une expertise médicale, varient en fonction des circonstances et relèvent du pouvoir d'appréciation de l'autorité cantonale appelée à se prononcer sur le retrait (ATF 129 II 82 consid. 2.2 ; arrêts du Tribunal fédéral 1C_593/2012 du 28 mars 2013 consid. 3.1 ; 1C_248/2011 du 30 janvier 2012 consid. 3.1 ; 1C_282/2007 du 13 février 2008 consid. 2.2 ; 6A.33/2001 et 35/2001 du 30 mai 2001 consid. 3a). Cela étant, en cas de soupçon de dépendance à une drogue, l'autorité de retrait doit soumettre l'intéressé à une expertise médicale ; elle ne peut y renoncer qu'à titre exceptionnel, par exemple en cas de toxicomanie grave et manifeste (arrêts du Tribunal fédéral 1C_819/2013 du 25 novembre 2013 consid. 2 ; 1C_282/2007 du 13 février 2008 consid. 2.3, in JdT 2008 I 464).</w:t>
      </w:r>
    </w:p>
    <w:p>
      <w:r>
        <w:rPr>
          <w:b/>
        </w:rPr>
        <w:t>E. 21</w:t>
      </w:r>
    </w:p>
    <w:p>
      <w:r>
        <w:t>Ainsi, un défaut d'aptitude à conduire peut être admis lorsque la personne considérée n'est plus capable de séparer de façon suffisante sa consommation de cannabis et la conduite d'un véhicule automobile, ou s'il y a un risque important qu'elle conduise un véhicule automobile sous l'effet aigu de cette drogue (ATF 129 II 82 consid. 4.1 ; 127 II 22 consid. 3c ; 124 II 559 consid. 3d ; arrêt du Tribunal fédéral 6A.33/2001 et 35/2001 du 30 mai 2001 consid. 3b).</w:t>
      </w:r>
    </w:p>
    <w:p>
      <w:r>
        <w:rPr>
          <w:b/>
        </w:rPr>
        <w:t>E. 22</w:t>
      </w:r>
    </w:p>
    <w:p>
      <w:r>
        <w:t>Selon le guide, en matière de stupéfiants, dans le cadre d’une consommation répétée de cocaïne, d’héroïne ou d’amphétamines au cours des six derniers mois, la détermination de l’aptitude à la conduite se fait par une expertise de niveau 4, avec en règle générale un retrait préventif du permis de conduire, selon l’art. 15d al. 1 LCR et 28a OAC.</w:t>
      </w:r>
    </w:p>
    <w:p>
      <w:r>
        <w:rPr>
          <w:b/>
        </w:rPr>
        <w:t>E. 23</w:t>
      </w:r>
    </w:p>
    <w:p>
      <w:r>
        <w:t>Selon l’art. 37 OCCR, Si la police est informée de faits, par exemple de graves maladies ou de toxicomanie, pouvant entraîner un refus ou un retrait du permis, elle en avise l’autorité compétente en matière de circulation routière.</w:t>
      </w:r>
    </w:p>
    <w:p>
      <w:r>
        <w:rPr>
          <w:b/>
        </w:rPr>
        <w:t>E. 24</w:t>
      </w:r>
    </w:p>
    <w:p>
      <w:r>
        <w:t>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ATA/286/2017 du 14 mars 2017).</w:t>
      </w:r>
    </w:p>
    <w:p>
      <w:r>
        <w:rPr>
          <w:b/>
        </w:rPr>
        <w:t>E. 25</w:t>
      </w:r>
    </w:p>
    <w:p>
      <w:r>
        <w:t>À teneur de l'art. 42 al. 1 de la convention sur la circulation routière du 8 novembre 1968 (RS 0.741.10), conclue à Vienne le 8 novembre 1968, entrée en vigueur pour la Suisse le 11 décembre 1992 et pour la France le 9 décembre 1971, les parties contractantes ou leurs subdivisions peuvent retirer à un conducteur qui commet sur leur territoire une infraction susceptible d'entraîner le retrait du permis de conduire</w:t>
      </w:r>
    </w:p>
    <w:p>
      <w:r>
        <w:t>- 10/12 - A/1174/2025 en vertu de leur législation le droit de faire usage sur leur territoire du permis de conduire, national ou international, dont il est titulaire. Le droit suisse prévoit que l'usage d'un permis étranger peut être interdit en vertu des dispositions qui s'appliquent au retrait du permis de conduire suisse (art. 45 al. 1 OAC ; cf. ATA/390/2018 du 24 avril 2018 consid. 3b). Les règles et principes énoncés ci-dessus sont donc applicables mutatis mutandis à l'interdiction de faire usage du permis de conduire étranger, notamment français, sur le territoire suisse.</w:t>
      </w:r>
    </w:p>
    <w:p>
      <w:r>
        <w:rPr>
          <w:b/>
        </w:rPr>
        <w:t>E. 26</w:t>
      </w:r>
    </w:p>
    <w:p>
      <w:r>
        <w:t>En l'espèce, il n'appartient ni au recourant ni, à ce stade, au tribunal de se déterminer sur la question de l'aptitude à la conduite de celui-là, à laquelle l'expertise souhaitée par l'OCV doit répondre. La seule question qui se pose ici revient en effet à savoir s'il existe ou non des doutes quant à cette aptitude, susceptible de justifier la mise en œuvre d'une telle expertise avec un médecin de niveau 4. Le tribunal soulignera d’abord que c’est à juste titre que la police a transmis à l’OCV un rapport contenant les déclarations que le recourant avaient faites lors de son audition, en application de l’art. 37 OCCR. Pour fonder sa décision, l’OCV s'appuie sur le fait que le recourant a reconnu lors de l’audition par la police qui s’est déroulée dans le cadre d’une affaire de stupéfiants, consommer en quantités indéterminées des produits cannabiques, de la cocaïne et de la MDMA « dans le cadre festif ». Dans le cadre de la présente procédure, qui est ultérieure à son audition par la police, le recourant tente toutefois de minimiser sa consommation, indiquant n’avoir admis devant la police qu’une consommation très occasionnelle de stupéfiants, uniquement dans un cadre festif et exceptionnel, et précisant que sa consommation est « légère et occasionnelle ». Bien qu’ayant été invité par l’OCV le 10 décembre 2024 à préciser quels stupéfiants il consommait, depuis quand, à quelle quantité et à quel rythme, le recourant n’a non seulement transmis aucune observation à l’OCV mais surtout n’a donné aucune précision dans le cadre de la présente procédure, ce qui a pour conséquences que l’on ignore exactement quelle est à ce jour la consommation réelle de stupéfiants du recourant, en quoi elle consiste et depuis quand elle existe. Ainsi, en application de la jurisprudence précitée et à lecture du dossier, il doit être retenu que le recourant, comme cela ressort du rapport établi par la police suite à son audition du 25 novembre 2024, consomme des produits cannabiques, de la cocaïne et de la MDMA, en quantité et à une fréquence indéterminées, le fait d’indiquer que sa consommation se fait « dans le cadre festif » étant particulièrement peu précis et ne permettant pas de lever les doutes légitimes de l’OCV. Dès lors, c’est à juste titre que l’OCV conçoit des doutes sérieux sur l’aptitude à la conduite du recourant et, sans avoir mésusé de son pouvoir d’appréciation, a ordonné une expertise auprès d’un médecin de niveau 4 – sans prononcer d’interdiction de conduire en Suisse à titre préventif.</w:t>
      </w:r>
    </w:p>
    <w:p>
      <w:r>
        <w:t>- 11/12 - A/1174/2025</w:t>
      </w:r>
    </w:p>
    <w:p>
      <w:r>
        <w:rPr>
          <w:b/>
        </w:rPr>
        <w:t>E. 27</w:t>
      </w:r>
    </w:p>
    <w:p>
      <w:r>
        <w:t>Mal fondé, le recours sera rejeté.</w:t>
      </w:r>
    </w:p>
    <w:p>
      <w:r>
        <w:rPr>
          <w:b/>
        </w:rPr>
        <w:t>E. 28</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t>- 12/12 - A/1174/2025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