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JTAPI/76/2024 vom 30. Januar 2024</w:t>
      </w:r>
    </w:p>
    <w:p>
      <w:r>
        <w:t>GE Cour de justice, 2024-01-30, FR</w:t>
      </w:r>
    </w:p>
    <w:p>
      <w:r>
        <w:rPr>
          <w:b/>
        </w:rPr>
        <w:t xml:space="preserve">Quelle: </w:t>
      </w:r>
      <w:r>
        <w:t>https://mcp.opencaselaw.ch/entscheid/ge_gerichte_JTAPI_76_2024</w:t>
      </w:r>
    </w:p>
    <w:p>
      <w:r>
        <w:t>FR: GE_GERICHTE JTAPI/76/2024 du 30 janvier 2024</w:t>
      </w:r>
    </w:p>
    <w:p>
      <w:r>
        <w:t>IT: GE_GERICHTE JTAPI/76/2024 del 30 gennaio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Aux termes de l’art.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ladite loi contient des dispositions plus favorables. L'ALCP ne réglemente pas en tant que telle l'interdiction de pénétrer dans une région déterminée. C'est donc l'art. 74 LEI qui est applicable. Toutefois, cette disposition doit être interprétée en tenant compte des exigences spécifiques de l'ALCP. Ainsi, l'art. 74 LEI ne saurait aboutir à priver les étrangers au bénéfice de l'ALCP des droits que leur confère ce traité (ATF 139 II 121 consid. 5.1 applicable par analogie).</w:t>
      </w:r>
    </w:p>
    <w:p>
      <w:r>
        <w:rPr>
          <w:b/>
        </w:rPr>
        <w:t>E. 5</w:t>
      </w:r>
    </w:p>
    <w:p>
      <w:r>
        <w:t>Examinant une mesure d'interdiction d'entrer en Suisse prononcée à l’égard d’un ressortissant d’un État membre de l’ALPC, le Tribunal fédéral a relevé qu’une telle restriction à la libre circulation des personnes, devait, contrairement à ce qui vaut pour les ressortissants d'États non-parties à l'ALCP, aussi se conformer à l'exigence de l'art. 5 par. 1 annexe I ALCP, selon laquelle le droit de demeurer en</w:t>
      </w:r>
    </w:p>
    <w:p>
      <w:r>
        <w:t>- 7/12 - A/240/2024 Suisse pour y exercer une activité lucrative ne peut être limité que par des mesures d'ordre ou de sécurité publics (ATF 139 II 121 consid. 5.3).</w:t>
      </w:r>
    </w:p>
    <w:p>
      <w:r>
        <w:rPr>
          <w:b/>
        </w:rPr>
        <w:t>E. 5.1</w:t>
      </w:r>
    </w:p>
    <w:p>
      <w:r>
        <w:t>; 2C_1142/2014 du 29 juin 2015 consid. 3.1 ; 6B_808/2011 du 24 mai 2012 consid. 1.2 ;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w:t>
      </w:r>
    </w:p>
    <w:p>
      <w:r>
        <w:rPr>
          <w:b/>
        </w:rPr>
        <w:t>E. 6</w:t>
      </w:r>
    </w:p>
    <w:p>
      <w:r>
        <w:t>S’agissant d’une interdiction de pénétrer dans un certain territoire concernant en particulier un ressortissant d'un État partie à l'ALCP, il faut que la personne concernée représente une menace d'une certaine gravité pour l'ordre et la sécurité publics de nature à la priver de son droit de demeurer en Suisse au sens de l'art. 5 Annexe I de l’ALCP (ATF 139 II 121 5.4 et les références citées).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 136 II 5 consid. 4.2 ; 134 II 10 consid. 4.3).</w:t>
      </w:r>
    </w:p>
    <w:p>
      <w:r>
        <w:rPr>
          <w:b/>
        </w:rPr>
        <w:t>E. 7</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8</w:t>
      </w:r>
    </w:p>
    <w:p>
      <w:r>
        <w:t>De son côté, l'art. 6 al. 3 LaLEtr précise que l'étranger peut être contraint à ne pas quitter le territoire qui lui est assigné ou à ne pas pénétrer dans une région déterminée, aux conditions prévues à l'art. 74 LEI, notamment suite à une</w:t>
      </w:r>
    </w:p>
    <w:p>
      <w:r>
        <w:t>- 8/12 - A/240/2024 condamnation pour vol, brigandage, lésions corporelles intentionnelles, dommage à la propriété ou pour une infraction à la LStup.</w:t>
      </w:r>
    </w:p>
    <w:p>
      <w:r>
        <w:rPr>
          <w:b/>
        </w:rPr>
        <w:t>E. 9</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2ème éd., 2013, ad art. 74, p. 204 n. 1).</w:t>
      </w:r>
    </w:p>
    <w:p>
      <w:r>
        <w:rPr>
          <w:b/>
        </w:rPr>
        <w:t>E. 10</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rPr>
          <w:b/>
        </w:rPr>
        <w:t>E. 11</w:t>
      </w:r>
    </w:p>
    <w:p>
      <w:r>
        <w:t>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w:t>
      </w:r>
    </w:p>
    <w:p>
      <w:r>
        <w:rPr>
          <w:b/>
        </w:rPr>
        <w:t>E. 12</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w:t>
      </w:r>
    </w:p>
    <w:p>
      <w:r>
        <w:t>- 9/12 - A/240/2024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 Elles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13</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14</w:t>
      </w:r>
    </w:p>
    <w:p>
      <w:r>
        <w:t>Il convient de vérifier, dans chaque cas d’espèce, que l’objectif visé par l’autorité justifie véritablement l’interdiction de périmètre prononcée, c’est-à-dire qu’il existe un rapport raisonnable entre cet objectif et les moyens mis en œuvre pour l’atteindre (ATF 142 II 1 consid. 2.3 ; arrêts du Tribunal fédéral 2C_884/2020 du 5 août 2021 consid.3.4.2 ; 2C_796/2018 du 4 février 2019 consid. 4.2).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rPr>
          <w:b/>
        </w:rPr>
        <w:t>E. 15</w:t>
      </w:r>
    </w:p>
    <w:p>
      <w:r>
        <w:t>En l’espèce, la recourante n'est pas au bénéfice d'une autorisation de courte durée (art. 32 LEI), de séjour (art. 33 LEI) ou d'établissement en Suisse (art. 34 LEI) ; elle a certes bénéficié d’une autorisation de courte durée pour son activité du 18 décembre 2023 au 5 janvier 2024 mais celle-ci est maintenant échue. Elle est par ailleurs domiciliée en France.</w:t>
      </w:r>
    </w:p>
    <w:p>
      <w:r>
        <w:t>- 10/12 - A/240/2024 Elle a reconnu avoir commis le vol de bouteilles d’alcool à la B______ d’C______ ainsi que d’une veste dans la boutique D______. Elle a été condamnée pour vol au sens de l’art. 139 CP. Ces éléments sont d’une certaine gravité mais doivent être appréciés à l’aune de l’ensemble des circonstances du cas d’espèce. En particulier, il convient de retenir que suite à son arrestation, Mme A______ a indiqué avoir été placée en détention pendant trente heures sans avoir pu bénéficier de l’assistance d’un avocat ; il en a découlé que, lors de son interrogatoire, elle n’a pas été en mesure d’expliquer de manière correcte sa situation et en particulier ses liens avec la Suisse et Genève et, selon ses propres dires, n’a pas été autorisée à faire opposition à l’interdiction devant le commissaire de police – sans que la représentante de la police n’ait pu expliquer ce qui s’était passé. La situation de stress que Mme A______ a vécue lors de la procédure devant la police ainsi que son jeune âge doivent ainsi être pris en compte et expliquent les raisons pour lesquelles Mme A______ n’a pas été capable de porter à la connaissance de la police certains faits importants avant le prononcé de la mesure. Mme A______ ne s’est pas opposée à l’ordonnance pénale du fait qu’elle reconnait l’erreur commise et qu’elle veut l’assumer, étant souligné que son casier judiciaire en Suisse est vierge. Elle fait montre d’une prise de conscience et la risque de récidive apparait faible. Elle a par ailleurs des attaches avec la Suisse et Genève en particulier : en effet, elle a déjà travaillé à Genève en décembre 2023 et janvier 2024 et vient de signer un contrat de travail pour une période d’environ six mois comme aide de cuisine et employée de maison à 78.75% à partir du 30 janvier 2024, après avoir passé avec succès les trois jours d’essai qui se sont déroulés les 25, 26 et 29 janvier 2024 dans un foyer situé sur la commune de I______. Elle a de plus de la famille en Suisse, plus précisément sa tante à J______ chez qui elle a vécu durant sa première mission et qui est disposée à l’héberger, dès qu’elle aura trouvé du travail, selon l’attestation qu’elle a signée le 23 janvier 2024, ce qui est aujourd’hui chose faite. Dans ces circonstances l’interdiction de pénétrer sur l’ensemble du canton de Genève prononcée à son encontre ne respecte pas le principe de proportionnalité. Elle restreint de manière excessive sa liberté de mouvement de Mme A______, l’empêchant de se rendre librement sur son lieu de travail et de se déplacer chez sa tante chez qui elle va loger à J______. Elle l’empêche également de se rendre chez G______ pour discuter de futures missions, ou même de se déplacer chez de potentiels employeurs, étant rappelé qu’elle dispose en principe d’un droit à pouvoir accéder au marché de l’emploi en Suisse et que la mission qu’elle va débuter le 30 janvier 2024 est de durée limitée.</w:t>
      </w:r>
    </w:p>
    <w:p>
      <w:r>
        <w:rPr>
          <w:b/>
        </w:rPr>
        <w:t>E. 16</w:t>
      </w:r>
    </w:p>
    <w:p>
      <w:r>
        <w:t>Au vu de ce qui précède, le tribunal admet l’opposition et annule l'interdiction de pénétrer dans une région déterminée prise à l'encontre de Mme A______.</w:t>
      </w:r>
    </w:p>
    <w:p>
      <w:r>
        <w:t>- 11/12 - A/240/2024</w:t>
      </w:r>
    </w:p>
    <w:p>
      <w:r>
        <w:rPr>
          <w:b/>
        </w:rPr>
        <w:t>E. 17</w:t>
      </w:r>
    </w:p>
    <w:p>
      <w:r>
        <w:t>Conformément à l'art. 9 al. 6 LaLEtr, le présent jugement sera communiqué à Mme A______, à son avocat et au commissaire de police. En vertu des art. 89 al. 2 et 111 al. 2 de la loi sur le Tribunal fédéral du 17 juin 2005 (LTF - RS 173.110), il sera en outre communiqué au secrétariat d'État aux migrations.</w:t>
      </w:r>
    </w:p>
    <w:p>
      <w:r>
        <w:rPr>
          <w:b/>
        </w:rPr>
        <w:t>E. 18</w:t>
      </w:r>
    </w:p>
    <w:p>
      <w:r>
        <w:t>Un éventuel recours déposé contre le présent jugement n'aura pas d'effet suspensif (art. 10 al. 1 LaLEtr).</w:t>
      </w:r>
    </w:p>
    <w:p>
      <w:r>
        <w:t>- 12/12 - A/240/2024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