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JTAPI/768/2024 vom 12. August 2024</w:t>
      </w:r>
    </w:p>
    <w:p>
      <w:r>
        <w:t>GE Cour de justice, 2024-08-12, FR</w:t>
      </w:r>
    </w:p>
    <w:p>
      <w:r>
        <w:rPr>
          <w:b/>
        </w:rPr>
        <w:t xml:space="preserve">Quelle: </w:t>
      </w:r>
      <w:r>
        <w:t>https://mcp.opencaselaw.ch/entscheid/ge_gerichte_JTAPI_768_2024</w:t>
      </w:r>
    </w:p>
    <w:p>
      <w:r>
        <w:t>FR: GE_GERICHTE JTAPI/768/2024 du 12 août 2024</w:t>
      </w:r>
    </w:p>
    <w:p>
      <w:r>
        <w:t>IT: GE_GERICHTE JTAPI/768/2024 del 12 agosto 2024</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w:t>
      </w:r>
    </w:p>
    <w:p>
      <w:r>
        <w:rPr>
          <w:b/>
        </w:rPr>
        <w:t>E. 4</w:t>
      </w:r>
    </w:p>
    <w:p>
      <w:r>
        <w:t>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5</w:t>
      </w:r>
    </w:p>
    <w:p>
      <w:r>
        <w:t>Pour déterminer la durée et s'il y a lieu de prononcer un retrait d'admonestation, la LCR distingue les infractions légères, moyennement graves et graves (art. 16a à 16c LCR).</w:t>
      </w:r>
    </w:p>
    <w:p>
      <w:r>
        <w:rPr>
          <w:b/>
        </w:rPr>
        <w:t>E. 5.2</w:t>
      </w:r>
    </w:p>
    <w:p>
      <w:r>
        <w:t>; ATA/25/2015 du 6 janvier 2015 consid. 5a). Le fait que l'excès de vitesse ait été commis alors que les conditions de la circulation étaient favorables ou que le conducteur jouissait d'une excellente réputation en tant qu'automobiliste ne joue aucun rôle sur la gravité de l'infraction lorsque ces seuils sont atteints, dès lors qu'ils ont été fixés précisément en partant de ces prémisses (ATF 132 II 234 consid. 3 ; ATF 124 II 475 consid. 2a).</w:t>
      </w:r>
    </w:p>
    <w:p>
      <w:r>
        <w:rPr>
          <w:b/>
        </w:rPr>
        <w:t>E. 6</w:t>
      </w:r>
    </w:p>
    <w:p>
      <w:r>
        <w:t>Selon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Réalise enfin une infraction grave, au sens de l'art. 16c al. 1 let. a LCR, la personne qui, en violant gravement les règles de la circulation, met sérieusement en danger la sécurité d'autrui ou en prend le risque.</w:t>
      </w:r>
    </w:p>
    <w:p>
      <w:r>
        <w:t>- 5/8 - A/1375/2024</w:t>
      </w:r>
    </w:p>
    <w:p>
      <w:r>
        <w:rPr>
          <w:b/>
        </w:rPr>
        <w:t>E. 7</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(not. arrêts du Tribunal fédéral 1C_216/2009 du 14 septembre 2009 consid. 5.2; 1C_83/2008 du 16 octobre 2008 in JdT 2008 I 447 s. et les références citées). En particulier,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 arrêt du Tribunal fédéral 1C_216/2009 du 14 septembre 2009 consid.</w:t>
      </w:r>
    </w:p>
    <w:p>
      <w:r>
        <w:rPr>
          <w:b/>
        </w:rPr>
        <w:t>E. 8</w:t>
      </w:r>
    </w:p>
    <w:p>
      <w:r>
        <w:t>En l’espèce, le recourant ne conteste pas avoir commis le dépassement de vitesse du 8 octobre 2022 ni qu’il s’agit d’une infraction grave aux règles de la circulation routière, mais fait valoir qu’il a un besoin impératif de son permis de conduire car il doit fréquemment véhiculer son épouse et son petit-fils, tous deux atteints dans leur santé, en l’absence de solutions alternatives.</w:t>
      </w:r>
    </w:p>
    <w:p>
      <w:r>
        <w:rPr>
          <w:b/>
        </w:rPr>
        <w:t>E. 9</w:t>
      </w:r>
    </w:p>
    <w:p>
      <w:r>
        <w:t>Selon l'art. 16c al. 2 let. b LCR, après une infraction grave, le permis d'élève conducteur ou le permis de conduire est retiré pour six mois au minimum si, au cours des cinq années précédentes, le permis a été retiré une fois en raison d'une infraction moyennement grave.</w:t>
      </w:r>
    </w:p>
    <w:p>
      <w:r>
        <w:rPr>
          <w:b/>
        </w:rPr>
        <w:t>E. 10</w:t>
      </w:r>
    </w:p>
    <w:p>
      <w:r>
        <w:t>En vertu de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w:t>
      </w:r>
    </w:p>
    <w:p>
      <w:r>
        <w:t>- 6/8 - A/1375/2024</w:t>
      </w:r>
    </w:p>
    <w:p>
      <w:r>
        <w:rPr>
          <w:b/>
        </w:rPr>
        <w:t>E. 11</w:t>
      </w:r>
    </w:p>
    <w:p>
      <w:r>
        <w:t>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 4b, JdT 2002 I 593, et la jurisprudence citée). Conformément à cette même disposition, la durée minimale du retrait ne peut toutefois être réduite. Selon la jurisprudence du Tribunal fédéral, cette dernière règle s'impose à l'autorité et aux tribunaux sans dérogation possible, même pour tenir compte de besoins professionnels particuliers du conducteur (ATF 132 II 234 consid. 2 ; arrêt 1C_585/2008 du 14 mai 2009 consid. 2.1 ; cf. aussi ATA/23/2015 du 6 janvier 2015). Dans ce cadre, il y a en particulier lieu de souligner le fait que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 ou d'autres besoins - ne peuvent avoir pour effet de réduire davantage la sanction (ATF 132 II 234 consid. 2.3 ; cf. aussi ATF 1C_585/2008 du 14 mai 2009, consid. 2.1 in fine et la jurisprudence citée).</w:t>
      </w:r>
    </w:p>
    <w:p>
      <w:r>
        <w:rPr>
          <w:b/>
        </w:rPr>
        <w:t>E. 12</w:t>
      </w:r>
    </w:p>
    <w:p>
      <w:r>
        <w:t>En l'occurrence, c'est à juste titre que l’OCV a fixé la durée du retrait de permis de conduire du recourant à six mois en application de l’art. 16c al. 2 let. b LCR, devant prendre en compte dans ce cadre, à titre d'antécédent, le retrait de permis prononcé par décision du 1er avril 2019, pour une durée d’un mois, en raison d’une infraction moyennement grave, dès lors que l’exécution de cette mesure avait pris fin le 2 juillet 2019, soit moins de cinq ans avant la commission de la nouvelle infraction, survenue le 8 octobre 2022. Étant lié par cette durée, qui constitue le minimum légal incompressible devant sanctionner l'infraction en cause, l’OCV a correctement appliqué les règles en vigueur et n'a pas excédé ou abusé de son pouvoir d'appréciation, ne pouvant, en particulier, prendre en compte les besoins et la situation du recourant. Enfin et même si le tribunal de céans entend que la mesure querellée aura un impact non négligeable pour le recourant et sa famille, il doit aussi relever que ce dernier, qui a fait l’objet de pas moins de cinq décisions de l’OCV, depuis 2007, pour des dépassements de vitesse, ne pouvait ignorer le risque encouru en cas de récidive. Il se devait ainsi d’être particulièrement prudent s'il estimait que son permis lui était indispensable.</w:t>
      </w:r>
    </w:p>
    <w:p>
      <w:r>
        <w:rPr>
          <w:b/>
        </w:rPr>
        <w:t>E. 13</w:t>
      </w:r>
    </w:p>
    <w:p>
      <w:r>
        <w:t>Dans ces conditions, la décision querellée ne peut être que confirmée et, partant, le recours rejeté.</w:t>
      </w:r>
    </w:p>
    <w:p>
      <w:r>
        <w:t>- 7/8 - A/1375/2024</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15</w:t>
      </w:r>
    </w:p>
    <w:p>
      <w:r>
        <w:t>Vu l'issue du litige, aucune indemnité de procédure ne sera allouée (art. 87 al. 2 LPA).</w:t>
      </w:r>
    </w:p>
    <w:p>
      <w:r>
        <w:t>- 8/8 - A/1375/2024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