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JTAPI/766/2024 vom 12. August 2024</w:t>
      </w:r>
    </w:p>
    <w:p>
      <w:r>
        <w:t>GE Cour de justice, 2024-08-12, FR</w:t>
      </w:r>
    </w:p>
    <w:p>
      <w:r>
        <w:rPr>
          <w:b/>
        </w:rPr>
        <w:t xml:space="preserve">Quelle: </w:t>
      </w:r>
      <w:r>
        <w:t>https://mcp.opencaselaw.ch/entscheid/ge_gerichte_JTAPI_766_2024</w:t>
      </w:r>
    </w:p>
    <w:p>
      <w:r>
        <w:t>FR: GE_GERICHTE JTAPI/766/2024 du 12 août 2024</w:t>
      </w:r>
    </w:p>
    <w:p>
      <w:r>
        <w:t>IT: GE_GERICHTE JTAPI/766/2024 del 12 agosto 2024</w:t>
      </w:r>
    </w:p>
    <w:p>
      <w:pPr>
        <w:pStyle w:val="Heading2"/>
      </w:pPr>
      <w:r>
        <w:t>Erwägungen</w:t>
      </w:r>
    </w:p>
    <w:p>
      <w:r>
        <w:rPr>
          <w:b/>
        </w:rPr>
        <w:t>E. 13</w:t>
      </w:r>
    </w:p>
    <w:p>
      <w:r>
        <w:t>Le commissaire de police a soumis cet ordre de mise en détention au Tribunal administratif de première instance (ci-après : le tribunal) le même jour en vue du contrôle de sa légalité.</w:t>
      </w:r>
    </w:p>
    <w:p>
      <w:r>
        <w:rPr>
          <w:b/>
        </w:rPr>
        <w:t>E. 14</w:t>
      </w:r>
    </w:p>
    <w:p>
      <w:r>
        <w:t>Entendu ce jour par le tribunal, M. A______ a déclaré qu’il prenait note qu’il était entendu par le tribunal chargé de statuer sur l’ordre de mise en détention administrative prononcé à son encontre par le commissaire de police le 8 août 2024 pour une durée de deux mois. Il a confirmé s’appeler A______, né le ______ 1991. Il n’était pas d'accord de retourner au Maroc parce qu’il avait signé des faux chèques en lien avec son père. Des victimes l’ont attrapé à l’époque en voiture pour essayer d’obtenir le remboursement des montants soustraits en 2014. A sa connaissance, une plainte pénale a été déposée contre son père mais pas contre lui. Son père était décédé. Il a eu un baccalauréat en science économique mais il n’avait jamais eu de travail en lien avec ses études. L’ensemble de sa famille se trouvait au Maroc sous réserve de sa femme qui se trouvait en Suisse allemande. Il précisait ne pas être marié civilement. Son état de santé était bon sous réserve d’une blessure à la jambe qui s’est infectée l’empêchant de voyager. Sur question de son conseil, il était venu à Genève car il avait des problèmes familiaux et il n’était pas reparti parce qu’il avait une blessure à la jambe. Sur question de son conseil, s’il était libéré, il quitterait la Suisse immédiatement. Sur question de la représentante du commissaire de police, il ne se rendait pas compte qu’il était interdit de séjour sur l’ensemble de l’espace Schengen. La représentante du commissaire de police a versé à la procédure une annonce de vol avec escorte policière visant un créneau pour le 25 septembre 2024 ainsi que l’extrait du dossier swissREPAT correspondant. Dès lors que l’intéressé n’avait pas de papiers d’identité, un laissez-passer serait nécessaire, lequel serait vraisemblablement délivré les jours qui précédaient le voyage dans la mesure de la durée de sa validité. Les autorités marocaines ont déjà reconnu M. A______ par le passé, rien n’indiquait qu’il en serait autrement aujourd’hui. Elle a plaidé et conclu à la confirmation de l'ordre de mise en détention administrative pour une durée de deux mois. Les conditions de la détention étaient remplies, laquelle était proportionnée notamment quant à sa durée vu qu’en cas de retard de renvoi, le commissaire de police devait disposer de quelques jours afin d’organiser un autre</w:t>
      </w:r>
    </w:p>
    <w:p>
      <w:r>
        <w:t>- 4/12 - A/2576/2024 vol. M. A______ n’avait pas d’attache en Suisse et n’avait pas collaboré à la procédure.</w:t>
      </w:r>
    </w:p>
    <w:p>
      <w:r>
        <w:rPr>
          <w:b/>
        </w:rPr>
        <w:t>E. 15</w:t>
      </w:r>
    </w:p>
    <w:p>
      <w:r>
        <w:t>L'assurance de l'exécution du renvoi de l’intéressé à destination de son pays d'origine répond par ailleurs à un intérêt public évident et, compte tenu des éléments énoncés ci-avant, il est clair qu'aucune autre mesure moins incisive que la détention ne saurait être envisagée pour garantir sa présence jusqu'à l'exécution de son refoulement aux fins duquel la détention est adéquate (cf. not. ATA/672/2016 du 8 août 2016 consid. 7c ; ATA/949/2015 du 18 septembre 2015 consid. 8 ; ATA/846/2015 du 20 août 2015 consid. 8 ; ATA/810/2014 du 28 octobre 2014 consid. 6). La détention respecte par conséquent le principe de la proportionnalité.</w:t>
      </w:r>
    </w:p>
    <w:p>
      <w:r>
        <w:rPr>
          <w:b/>
        </w:rPr>
        <w:t>E. 16</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17</w:t>
      </w:r>
    </w:p>
    <w:p>
      <w:r>
        <w:t>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de l’étranger lui-même (ATF 139 I 206 consid. 2.1 et les arrêts cités).</w:t>
      </w:r>
    </w:p>
    <w:p>
      <w:r>
        <w:rPr>
          <w:b/>
        </w:rPr>
        <w:t>E. 18</w:t>
      </w:r>
    </w:p>
    <w:p>
      <w:r>
        <w:t>En l’espèce, l’intéressé vient d’être mis en détention, il y a près d’un jour ouvré et un vol avec escorte policière a d'ores et déjà été prévu pour le 25 septembre 2024. Ainsi, les autorités suisses ont accompli l'ensemble des démarches que l'on pouvait attendre d'elles jusqu'ici. Le principe de célérité posé par l'art. 76 al. 4 LEI est ainsi respecté.</w:t>
      </w:r>
    </w:p>
    <w:p>
      <w:r>
        <w:rPr>
          <w:b/>
        </w:rPr>
        <w:t>E. 19</w:t>
      </w:r>
    </w:p>
    <w:p>
      <w:r>
        <w:t>A teneur de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Ainsi, dans ces circonstances, la détention administrative peut atteindre dix-huit mois (cf. not. ATA/22/2017 du 12 janvier 2017 ; ATA/1052/2016 du 14 décembre 2016 ; ATA/1017/2016 du 6 décembre 2016 ; ATA/3/2013 du 3 janvier 2013 ; ATA/40/2012 du 19 janvier 2012).</w:t>
      </w:r>
    </w:p>
    <w:p>
      <w:r>
        <w:rPr>
          <w:b/>
        </w:rPr>
        <w:t>E. 20</w:t>
      </w:r>
    </w:p>
    <w:p>
      <w:r>
        <w:t>Selon la jurisprudence du Tribunal fédéral, il est admissible qu’un étranger, libéré d’une première détention administrative, soit détenu une nouvelle fois en vue de son renvoi dans le cadre de la même procédure. Il faut toutefois qu’un changement déterminant des circonstances permette de le justifier, comme la survenance d’un</w:t>
      </w:r>
    </w:p>
    <w:p>
      <w:r>
        <w:t>- 8/12 - A/2576/2024 nouveau motif de détention ou la disparition de l’impossibilité dont était affecté le renvoi (ATF 140 II 1 consid. 5.2). Tel peut par exemple être le cas si l'étranger part dans la clandestinité après la libération de sa première détention. Est aussi envisageable la situation où l'autorité aurait levé une première détention administrative dès lors que l'exécution du renvoi de l'étranger, en soi possible, n'apparaissait plus comme vraisemblable dans un délai utile; en tant que les causes pour la mise en détention de l'étranger persisteraient, cette même autorité pourrait ordonner la réincarcération de celui-ci, si ce renvoi s'avérait par la suite à nouveau vraisemblable dans un délai raisonnable (ATF 140 II 1 et les références citées).</w:t>
      </w:r>
    </w:p>
    <w:p>
      <w:r>
        <w:rPr>
          <w:b/>
        </w:rPr>
        <w:t>E. 21</w:t>
      </w:r>
    </w:p>
    <w:p>
      <w:r>
        <w:t>Savoir s'il existe des circonstances nouvelles dépend donc des motifs qui ont présidé à la première libération (arrêt 2C_658/2014 du 7 août 2014 consid. 3.2).</w:t>
      </w:r>
    </w:p>
    <w:p>
      <w:r>
        <w:rPr>
          <w:b/>
        </w:rPr>
        <w:t>E. 22</w:t>
      </w:r>
    </w:p>
    <w:p>
      <w:r>
        <w:t>Le fait qu'un étranger ait commis de nouveaux crimes entre sa relaxe et sa nouvelle mise en détention, et qu'il refuse toujours de rentrer dans son pays constituent des circonstances nouvelles pertinentes, tout comme le fait qu'il soit au moment de la seconde mise en détention au bénéfice d'un laissez-passer établi par le département fédéral compétent, qui considérait que son identité et sa nationalité étaient suffisamment établies (arrêt du Tribunal fédéral 2C_700/2015 du 8 décembre 2015 consid. 4.1.2).</w:t>
      </w:r>
    </w:p>
    <w:p>
      <w:r>
        <w:rPr>
          <w:b/>
        </w:rPr>
        <w:t>E. 23</w:t>
      </w:r>
    </w:p>
    <w:p>
      <w:r>
        <w:t>L’art. 76 al. 3 LEI précise que le nombre de jours de détention doit être comptabilisé dans la durée maximale de détention visé à l’art. 79 LEI.</w:t>
      </w:r>
    </w:p>
    <w:p>
      <w:r>
        <w:rPr>
          <w:b/>
        </w:rPr>
        <w:t>E. 24</w:t>
      </w:r>
    </w:p>
    <w:p>
      <w:r>
        <w:t>La détention en vue du renvoi ou de l’expulsion « ordinaire » (art. 76 al. 1 let. a et let. b ch. 1 à 4 LEI) et la détention pour insoumission (art. 78 LEI) ne connaissent pas de plafond autonome. Selon le cas d’espèce, les différentes formes de détention susmentionnée peuvent s’enchaîner. Dans cette optique, le législateur a décidé de plafonner le total combiné desdites formes de détention. Seule la rétention administrative n’est pas prise en compte dans ce calcul (art. 73 al. 6 LEI) (Gregor CHATTON et Laurent MERZ in Code annoté de droit des migrations volume II loi sur les étrangers (LEtr) p. 848 et les références citées).</w:t>
      </w:r>
    </w:p>
    <w:p>
      <w:r>
        <w:rPr>
          <w:b/>
        </w:rPr>
        <w:t>E. 25</w:t>
      </w:r>
    </w:p>
    <w:p>
      <w:r>
        <w:t>Pour établir la durée de la détention, il faut partir du moment de la détention effective de l’intéressé pour des motifs tirés du droit des étrangers. Pour le surplus, le mois et l’année sont comptés de quantième à quantième (allemand : « nach der Kalenderzeit »), par analogie avec l’art. 110 ch. 6 CP (Gregor CHATTON et Laurent MERZ, op. cit. p. 849).</w:t>
      </w:r>
    </w:p>
    <w:p>
      <w:r>
        <w:rPr>
          <w:b/>
        </w:rPr>
        <w:t>E. 26</w:t>
      </w:r>
    </w:p>
    <w:p>
      <w:r>
        <w:t>Dans tous les cas, la durée de la détention doit être proportionnée par rapport aux circonstances d'espèce (arrêts du Tribunal fédéral 2C_18/2016 du 2 février 2016 consid. 4.2 ; 2C_218/2013 du 26 mars 2013 consid. 2.3).</w:t>
      </w:r>
    </w:p>
    <w:p>
      <w:r>
        <w:rPr>
          <w:b/>
        </w:rPr>
        <w:t>E. 27</w:t>
      </w:r>
    </w:p>
    <w:p>
      <w:r>
        <w:t>En l’espèce, il s’agit d’une nouvelle procédure de renvoi venant de débuter le 8 août 2024, au titre de laquelle la durée de détention de la précédente procédure qui s’est achevée par le départ de l’intéressé le 12 septembre 2023, n’entre pas en ligne de compte. Ainsi, la durée de détention de deux mois décidée par le commissaire de police respecte le cadre légal et n'apparaît pas disproportionnée.</w:t>
      </w:r>
    </w:p>
    <w:p>
      <w:r>
        <w:t>- 9/12 - A/2576/2024 Dans l'hypothèse où l’intéressé refuserait de prendre le vol qui lui sera réservé, l'autorité devra pouvoir disposer de quelques jours pour initier des démarches pour organiser son retour par un autre vol.</w:t>
      </w:r>
    </w:p>
    <w:p>
      <w:r>
        <w:rPr>
          <w:b/>
        </w:rPr>
        <w:t>E. 28</w:t>
      </w:r>
    </w:p>
    <w:p>
      <w:r>
        <w:t>Selon l’art. 80 al. 4 LEI, l’autorité judiciaire qui examine la décision de détention administrative tient compte de la situation familiale de la personne détenue et des conditions d’exécution de la détention. Celle-ci doit en particulier être levée lorsque son motif n’existe plus ou si, selon l’art. 80 al. 6 let. a LEI, l’exécution du renvoi ou de l’expulsion s’avère impossible pour des raisons juridiques ou matérielles, ou qu’elle ne peut être raisonnablement exigée, cette dernière disposition légale renvoyant à l’art. 83 al. 1 à 4 LEI.</w:t>
      </w:r>
    </w:p>
    <w:p>
      <w:r>
        <w:rPr>
          <w:b/>
        </w:rPr>
        <w:t>E. 29</w:t>
      </w:r>
    </w:p>
    <w:p>
      <w:r>
        <w:t>S'agissant de la question de l'impossibilité de l'exécution du renvoi, l'art. 80 al. 6 let. a LEI renvoie à l’art. 83 al. 1 à 4 LEI (cf. ATA/92/2017 du 3 février 2017 consid. 5a ; ATA/1173/2015 du 30 octobre 2015 consid. 5b), qui stipulent que cette dernière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30</w:t>
      </w:r>
    </w:p>
    <w:p>
      <w:r>
        <w:t>L'art. 83 al. 3 LEI vise notamment l'étranger pouvant démontrer qu'il serait exposé à un traitement prohibé par l'art. 3 CEDH ou l'art. 3 de la Convention contre la torture et autres peines ou traitements cruels, inhumains ou dégradants du 10 décembre 1984 (Conv. torture - RS 0.105 ; ATF 139 II 65 consid. 5.4 ; arrêt du Tribunal fédéral 2D_55/2015 du 9 mai 2016 consid. 4.1).</w:t>
      </w:r>
    </w:p>
    <w:p>
      <w:r>
        <w:rPr>
          <w:b/>
        </w:rPr>
        <w:t>E. 31</w:t>
      </w:r>
    </w:p>
    <w:p>
      <w:r>
        <w:t>Quant à l’art. 83 al. 4 LEI, relatif à l’inexigibilité du renvoi, il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2010/54 consid. 5.1 ; 2010/41 consid 8.3.6 ; 2009/52 consid. 10.1 ; arrêts du Tribunal administratif fédéral E-5092/2013 du 29 octobre 2013 consid 6.1 ; D-5085/2010 du 14 février 2013 consid. 4.1 ; D-5434/2009 du 4 février 2013 consid. 15.1 ; ATA/731/2015 du 14 juillet 2015 consid. 11a).</w:t>
      </w:r>
    </w:p>
    <w:p>
      <w:r>
        <w:t>- 10/12 - A/2576/2024</w:t>
      </w:r>
    </w:p>
    <w:p>
      <w:r>
        <w:rPr>
          <w:b/>
        </w:rPr>
        <w:t>E. 32</w:t>
      </w:r>
    </w:p>
    <w:p>
      <w:r>
        <w:t>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(ATAF D-3039/2014 du 13 mai 2015).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w:t>
      </w:r>
    </w:p>
    <w:p>
      <w:r>
        <w:rPr>
          <w:b/>
        </w:rPr>
        <w:t>E. 33</w:t>
      </w:r>
    </w:p>
    <w:p>
      <w:r>
        <w:t>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E-6672/2013 du 22 mai 2015).</w:t>
      </w:r>
    </w:p>
    <w:p>
      <w:r>
        <w:rPr>
          <w:b/>
        </w:rPr>
        <w:t>E. 34</w:t>
      </w:r>
    </w:p>
    <w:p>
      <w:r>
        <w:t>Cela étant, il ne faut pas perdre de vue que le juge de la détention, dans le contrôle de celle-ci, doit en principe seulement s'assurer qu'une décision de renvoi existe, sans avoir à vérifier la légalité de cette dernière (ATF 129 I 139 consid. 4.3.2 ; arrêts du Tribunal fédéral 2C_47/2017 du 9 février 2017 consid. 5.2 ; 2C_1178/2016 du 3 janvier 2017 consid. 4.2 ; ATA/184/2017 du 15 février 2017 consid. 6). Les objections concernant ces questions doivent être invoquées et examinées par les autorités compétentes lors des procédures ad hoc et ce n'est que si une décision de renvoi apparaît manifestement inadmissible, soit arbitraire ou nulle, qu'il est justifié de lever la détention en application de l'art. 80 al. 6 LEtr, car l'exécution d'un tel ordre illicite ne doit pas être assurée par les mesures de contrainte (ATF 129 I 139 consid. 4.3.2 ; 125 II 217 consid. 2 ; arrêts du Tribunal fédéral 2C_47/2017 du 9 février 2017 consid. 5.2 ; 2C_1178/2016 du 3 janvier 2017 consid. 4.2 ; 2C_105/2016 du 8 mars 2016 consid. 7).</w:t>
      </w:r>
    </w:p>
    <w:p>
      <w:r>
        <w:rPr>
          <w:b/>
        </w:rPr>
        <w:t>E. 35</w:t>
      </w:r>
    </w:p>
    <w:p>
      <w:r>
        <w:t>En l'espèce, l'impossibilité du renvoi tiré de l’état de santé de l’intéressé qui aurait une simple plaie infectée à la jambe, n'apparaissant pas durablement incapacitante, elle ne peut être retenue par le tribunal dans le cadre de la présente procédure, qui ne saurait donc revenir sur la question de la validité de la décision de renvoi.</w:t>
      </w:r>
    </w:p>
    <w:p>
      <w:r>
        <w:rPr>
          <w:b/>
        </w:rPr>
        <w:t>E. 36</w:t>
      </w:r>
    </w:p>
    <w:p>
      <w:r>
        <w:t>Les allégations de harcèlement par des tiers à rembourser d'éventuels montants soustraits dans l'affaire des faux chèques, remontant à près d'une dizaine d'années liées aux prétendus affaires du père de l'intéressé, nullement étayées, n'apparaissent pas probantes. Le dossier ne laisse ainsi apparaître aucun élément donnant à penser que le renvoi ne serait, en l’état, pas possible, pas licite ou pas raisonnablement exigible.</w:t>
      </w:r>
    </w:p>
    <w:p>
      <w:r>
        <w:t>- 11/12 - A/2576/2024</w:t>
      </w:r>
    </w:p>
    <w:p>
      <w:r>
        <w:rPr>
          <w:b/>
        </w:rPr>
        <w:t>E. 37</w:t>
      </w:r>
    </w:p>
    <w:p>
      <w:r>
        <w:t>Au vu de ce qui précède, il y a lieu de confirmer l'ordre de mise en détention administrative de M. A______ pour une durée de deux mois.</w:t>
      </w:r>
    </w:p>
    <w:p>
      <w:r>
        <w:rPr>
          <w:b/>
        </w:rPr>
        <w:t>E. 38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- 12/12 - A/2576/2024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