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JTAPI/764/2025 vom 4. November 2024</w:t>
      </w:r>
    </w:p>
    <w:p>
      <w:r>
        <w:t>GE Cour de justice, 2024-11-04, FR</w:t>
      </w:r>
    </w:p>
    <w:p>
      <w:r>
        <w:rPr>
          <w:b/>
        </w:rPr>
        <w:t xml:space="preserve">Quelle: </w:t>
      </w:r>
      <w:r>
        <w:t>https://mcp.opencaselaw.ch/entscheid/ge_gerichte_JTAPI_764_2025</w:t>
      </w:r>
    </w:p>
    <w:p>
      <w:r>
        <w:t>FR: GE_GERICHTE JTAPI/764/2025 du 4 novembre 2024</w:t>
      </w:r>
    </w:p>
    <w:p>
      <w:r>
        <w:t>IT: GE_GERICHTE JTAPI/764/2025 del 4 novembre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Préalablement, le recourant sollicite sa comparution personnelle, de faire procéder à l'étalonnage du radar litigieux et à ce qu'il soit ordonné à la police de confirmer par écrit que toutes les directives techniques et exigences légales avaient été respectées.</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confère pas le droit d’être entendu oralement, ni celui d’obtenir l’audition de témoins (ATF 140 I 68 consid. 9.6.1 ; arrêt du Tribunal fédéral 8C_381/2021 du 17 décembre 2021 consid. 3.2 ; cf. aussi art. 41 in fine LPA).</w:t>
      </w:r>
    </w:p>
    <w:p>
      <w:r>
        <w:rPr>
          <w:b/>
        </w:rPr>
        <w:t>E. 5</w:t>
      </w:r>
    </w:p>
    <w:p>
      <w:r>
        <w:t>En l’espèce, le recourant a eu l’occasion de s’exprimer par écrit durant la présente procédure, d’exposer son point de vue et de produire toutes les pièces qu’il estimait</w:t>
      </w:r>
    </w:p>
    <w:p>
      <w:r>
        <w:t>- 5/10 - A/4075/2024 utiles à l’appui de ses allégués. L’autorité intimée a répondu à son recours, se prononçant sur les griefs qu’elle estimait pertinents pour l’issue du litige et l’intéressé s'est vu octroyer la possibilité de répliquer. S'agissant des autres mesures sollicitées, le tribunal constate que l'autorité intimée a produit les certificats de vérification et qu'en tout état, elles ne sont pas nécessaires pour trancher le litige comme on le verra ci-avant. Le dossier comporte en outre tous les éléments pertinents et nécessaires à l’examen des griefs et arguments mis en avant par les parties, permettant ainsi au tribunal de se forger une opinion et de trancher le litige. Par conséquent, les demandes d'instruction déposées par le recourant, en soi non obligatoires, seront rejetées.</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7</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;137 V 71 consid. 5.1 ; arrêt du Tribunal fédéral 8C_763/2017 du 30 octobre 2018 consid. 4.2 ; Thierry TANQUEREL, Manuel de droit administratif, 2018, n. 515 p. 179).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Est litigieux le bien-fondé du retrait du permis de conduire prononcé, le 4 novembre 2024, pour une durée de douze mois.</w:t>
      </w:r>
    </w:p>
    <w:p>
      <w:r>
        <w:rPr>
          <w:b/>
        </w:rPr>
        <w:t>E. 10</w:t>
      </w:r>
    </w:p>
    <w:p>
      <w:r>
        <w:t>Le recourant fait grief à l'OCV d'avoir retenu qu'il avait commis une infraction grave, en raison d'un dépassement de vitesse de 36 km/h au moment des faits.</w:t>
      </w:r>
    </w:p>
    <w:p>
      <w:r>
        <w:rPr>
          <w:b/>
        </w:rPr>
        <w:t>E. 11</w:t>
      </w:r>
    </w:p>
    <w:p>
      <w:r>
        <w:t>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 du Tribunal fédéral 1C_245/2010 du 13 juillet 2010 consid. 2.1 ; ATA/172/2012 du 27 mars 2012 ; ATA/363/2011du 7 juin 2011).</w:t>
      </w:r>
    </w:p>
    <w:p>
      <w:r>
        <w:t>- 6/10 - A/4075/2024</w:t>
      </w:r>
    </w:p>
    <w:p>
      <w:r>
        <w:rPr>
          <w:b/>
        </w:rPr>
        <w:t>E. 12</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 du Tribunal fédéral 1C_245/2010 du 13 juillet 2010 consid. 2.1 ; ATA/172/2012 du 27 mars 2012 ; ATA/363/2011 du 7 juin 2011).</w:t>
      </w:r>
    </w:p>
    <w:p>
      <w:r>
        <w:rPr>
          <w:b/>
        </w:rPr>
        <w:t>E. 13</w:t>
      </w:r>
    </w:p>
    <w:p>
      <w:r>
        <w:t>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 convient de statuer sur le retrait du permis de conduire après seulement que la procédure pénale soit achevée par un jugement entré en force (ATA/172/2012 du 27 mars 2012).</w:t>
      </w:r>
    </w:p>
    <w:p>
      <w:r>
        <w:rPr>
          <w:b/>
        </w:rPr>
        <w:t>E. 14</w:t>
      </w:r>
    </w:p>
    <w:p>
      <w:r>
        <w:t>Ce principe s'applique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par exemple si la décision pénale se fonde uniquement sur le rapport de police (arrêt du Tribunal fédéral 1C_245/2010 du 13 juillet 2010 consid. 2.1 ; ATA/172/2012 du 27 mars 2012 ; ATA/363/2011 du 7 juin 2011).</w:t>
      </w:r>
    </w:p>
    <w:p>
      <w:r>
        <w:rPr>
          <w:b/>
        </w:rPr>
        <w:t>E. 15</w:t>
      </w:r>
    </w:p>
    <w:p>
      <w:r>
        <w:t>En l’espèce, le recourant a été condamné par ordonnance pénale du 31 octobre 2024. Faute d'opposition, cette dernière est entrée en force et peut être assimilée à un jugement en force. Le fait que l'intéressé n'aurait pas pu former opposition dans les délais légaux car il se trouvait à l'étranger lors de sa notification, ne permet pas au tribunal de s'en écarter (ATA/551/2018 du 5 juin 2018). En tout état, son manquement lui est totalement imputable puisqu'il lui appartenait de prendre les dispositions qui s'imposent pour être atteint par le Ministère public de Fribourg. En effet, de jurisprudence constante, celui qui se sait partie à une procédure judiciaire et qui doit dès lors s'attendre à recevoir notification d'actes du juge, est tenu de relever son courrier ou, s'il s'absente de son domicile, de prendre des dispositions</w:t>
      </w:r>
    </w:p>
    <w:p>
      <w:r>
        <w:t>- 7/10 - A/4075/2024 pour que celui-ci lui parvienne néanmoins. À défaut, il est réputé avoir eu, à l'échéance du délai de garde, connaissance du contenu des plis recommandés que le juge lui adresse (ATF 138 III 225 consid. 3.1 p. 227; ATF 130 III 396 consid. 1.2.3 p. 399). Une telle obligation signifie que le destinataire doit, le cas échéant, désigner un représentant, faire suivre son courrier, informer les autorités de son absence ou leur indiquer une adresse de notification (ATF 117 V 131 consid. 4a p. 132/133 et plus récemment arrêts 8C_860/2011 du 19 décembre 2011;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 Si le recourant entendait renverser l'application de cette jurisprudence à son cas d'espèce, il lui appartenait de le faire auprès des autorités de poursuites pénales et non pas dans le cadre de la présente procédure. Sur le fond, le recourant se borne à affirmer que la vitesse mesurée est disproportionnée. Or, le motif de sa condamnation pénale est celui qu'a retenu l'OCV dans la décision querellée, à savoir un dépassement de vitesse de 36 km/h, le 10 juillet 2024, de sorte que rien ne permet au tribunal de céans de remettre en cause le contenu de l’ordonnance pénale du 31 octobre 2024 le reconnaissant coupable de l’infraction réalisée le 10 juillet 2024. Par conséquent, c’est à juste titre que l’OCV ne s’est pas écarté du jugement pénal en retenant que le recourant avait bien effectué le dépassement pour lequel il avait été condamné.</w:t>
      </w:r>
    </w:p>
    <w:p>
      <w:r>
        <w:rPr>
          <w:b/>
        </w:rPr>
        <w:t>E. 16</w:t>
      </w:r>
    </w:p>
    <w:p>
      <w:r>
        <w:t>Le recourant fait grief à l'autorité intimée d'avoir retenue une infraction grave en vertu de l'art. 16c al. 1 LCR.</w:t>
      </w:r>
    </w:p>
    <w:p>
      <w:r>
        <w:rPr>
          <w:b/>
        </w:rPr>
        <w:t>E. 17</w:t>
      </w:r>
    </w:p>
    <w:p>
      <w:r>
        <w:t>Pour déterminer la durée et s'il y a lieu de prononcer un retrait d'admonestation, la LCR distingue les infractions légères, moyennement graves et graves (art. 16a à16c LCR).</w:t>
      </w:r>
    </w:p>
    <w:p>
      <w:r>
        <w:rPr>
          <w:b/>
        </w:rPr>
        <w:t>E. 18</w:t>
      </w:r>
    </w:p>
    <w:p>
      <w:r>
        <w:t>Selon l’art. 16c al. 1 LCR, commet une infraction grave la personne qui, en violant gravement les règles de la circulation met sérieusement en danger la sécurité d’autrui ou en prend le risque (let. a).</w:t>
      </w:r>
    </w:p>
    <w:p>
      <w:r>
        <w:rPr>
          <w:b/>
        </w:rPr>
        <w:t>E. 19</w:t>
      </w:r>
    </w:p>
    <w:p>
      <w:r>
        <w:t>De façon générale, la qualification de cas grave au sens de l'art. 16c al. 1 let. a LCR correspond à celle de l'art. 90 al. 2 LCR (ATF 132 II 234consid. 3; arrêt du Tribunal fédéral 6B.264/2007 du 19 septembre 2007 consid. 3.1 ; ATA/458/2012 du 30 juillet 2012).</w:t>
      </w:r>
    </w:p>
    <w:p>
      <w:r>
        <w:rPr>
          <w:b/>
        </w:rPr>
        <w:t>E. 20</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w:t>
      </w:r>
    </w:p>
    <w:p>
      <w:r>
        <w:t>- 8/10 - A/4075/2024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w:t>
      </w:r>
    </w:p>
    <w:p>
      <w:r>
        <w:rPr>
          <w:b/>
        </w:rPr>
        <w:t>E. 21</w:t>
      </w:r>
    </w:p>
    <w:p>
      <w:r>
        <w:t>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 On soulignera ici que ces seuils ont été fixés par la jurisprudence en tenant compte du fait que les dépassements en question sont commis dans des conditions de circulation idéales. Ainsi, le fait que la route soit rectiligne ou que la visibilité soit optimale ne diminue pas le degré de danger atteint par un certain dépassement de la vitesse autorisée, mais fait partie de la définition de ce danger. Lorsque les conditions de la circulation sont défavorables, le danger est accru (à vitesse égale) et la gravité de l'infraction croît également.</w:t>
      </w:r>
    </w:p>
    <w:p>
      <w:r>
        <w:rPr>
          <w:b/>
        </w:rPr>
        <w:t>E. 22</w:t>
      </w:r>
    </w:p>
    <w:p>
      <w:r>
        <w:t>In casu, le recourant a dépassé la vitesse maximale autorisée de 36 km/h, marge de sécurité déduite, sur une autoroute, de sorte que, conformément à la jurisprudence précitée, il a bel et bien commis une infractions grave au sens de l'art. 16c al. 1 LCR. Le fait que la mise en danger était, selon lui, bégnine, qu'il n'ait pas souhaité mettre en péril la sécurité routière ou que la circulation était idéale, n'y change rien, tout comme le fait qu'il effectuait une manœuvre de contrôle dans le but de vérifier si les réparations effectuées sur son moteur étaient adéquates et si son véhicule présentait tous les gages de sécurité. A ce sujet, le tribunal peine à comprendre en quoi le fait de dépasser la vitesse autorisée peut être justifié par un besoin d'assurer une quelconque sécurité.</w:t>
      </w:r>
    </w:p>
    <w:p>
      <w:r>
        <w:rPr>
          <w:b/>
        </w:rPr>
        <w:t>E. 23</w:t>
      </w:r>
    </w:p>
    <w:p>
      <w:r>
        <w:t>L'art. 16c al. 2 let. c LCR prévoit qu'après une infraction grave, le permis de conduire est retiré pour douze mois au minimum si, au cours des cinq années précédentes, le permis a été retiré une fois en raison d'une infraction grave ou à deux reprises en raison d'infractions moyennement graves.</w:t>
      </w:r>
    </w:p>
    <w:p>
      <w:r>
        <w:rPr>
          <w:b/>
        </w:rPr>
        <w:t>E. 24</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w:t>
      </w:r>
    </w:p>
    <w:p>
      <w:r>
        <w:t>- 9/10 - A/4075/2024 consid. 2.2 ; 132 II 234 consid. 2.3 ; arrêts du Tribunal fédéral 1C_414/2019 du</w:t>
      </w:r>
    </w:p>
    <w:p>
      <w:r>
        <w:rPr>
          <w:b/>
        </w:rPr>
        <w:t>E. 28</w:t>
      </w:r>
    </w:p>
    <w:p>
      <w:r>
        <w:t>août 2019 consid. 2 ; 1C_535/2017 du 16 octobre 2017 consid. 3 ; 1C_102/2016 du 20 décembre 2016 consid. 2.5). 25. En l'espèce, la décision de l'autorité, qui s'est fondée sur le minimum légal incompressible, est conforme au principe de la proportionnalité, étant précisé que le tribunal ne peut réduire cette durée quels que soient les besoins professionnels et personnels du recourant (ATF 132 II 234). Par conséquent et dès lors que l'autorité intimée a prononcé la sanction minimale, elle ne pouvait prendre en compte les éventuels besoins professionnels du recourant. 26. Au vu de ce qui précède, le recours, mal fondé, sera rejeté. 27.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- 10/10 - A/4075/2024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