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JTAPI/763/2024 vom 8. August 2024</w:t>
      </w:r>
    </w:p>
    <w:p>
      <w:r>
        <w:t>GE Cour de justice, 2024-08-08, FR</w:t>
      </w:r>
    </w:p>
    <w:p>
      <w:r>
        <w:rPr>
          <w:b/>
        </w:rPr>
        <w:t xml:space="preserve">Quelle: </w:t>
      </w:r>
      <w:r>
        <w:t>https://mcp.opencaselaw.ch/entscheid/ge_gerichte_JTAPI_763_2024</w:t>
      </w:r>
    </w:p>
    <w:p>
      <w:r>
        <w:t>FR: GE_GERICHTE JTAPI/763/2024 du 8 août 2024</w:t>
      </w:r>
    </w:p>
    <w:p>
      <w:r>
        <w:t>IT: GE_GERICHTE JTAPI/763/2024 del 8 agosto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Le recourant a été pénalement reconnu coupable de l'infraction aux règles de la circulation routière en cause (excès de vitesse de 18 km/h en localité) et n'en conteste pas la réalisation, de sorte qu'il n'y a pas lieu d'y revenir.</w:t>
      </w:r>
    </w:p>
    <w:p>
      <w:r>
        <w:rPr>
          <w:b/>
        </w:rPr>
        <w:t>E. 4</w:t>
      </w:r>
    </w:p>
    <w:p>
      <w:r>
        <w:t>Lorsque la procédure prévue par la loi fédérale sur les amendes d'ordre du 24 juin 1970 (LAO - RS 741.03) n'est pas applicable, une infraction aux prescriptions sur la circulation routière entraîne le retrait du permis de conduire ou un avertissement (art. 16 al. 2 de la loi fédérale sur la circulation routière - LCR - RS 101).</w:t>
      </w:r>
    </w:p>
    <w:p>
      <w:r>
        <w:rPr>
          <w:b/>
        </w:rPr>
        <w:t>E. 5</w:t>
      </w:r>
    </w:p>
    <w:p>
      <w:r>
        <w:t>Pour déterminer la durée et s'il y a lieu de prononcer un retrait d'admonestation, la LCR distingue les infractions légères, moyennement graves et graves (art. 16a à 16c LCR).</w:t>
      </w:r>
    </w:p>
    <w:p>
      <w:r>
        <w:rPr>
          <w:b/>
        </w:rPr>
        <w:t>E. 6</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w:t>
      </w:r>
    </w:p>
    <w:p>
      <w:r>
        <w:rPr>
          <w:b/>
        </w:rPr>
        <w:t>E. 7</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w:t>
      </w:r>
    </w:p>
    <w:p>
      <w:r>
        <w:t>- 4/6 - A/1514/2024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not. arrêts du Tribunal fédéral 1C_216/2009 du 14 septembre 2009 consid. 5.2 ; 1C_83/2008 du 16 octobre 2008 in JdT 2008 I 447 s. et les références citées).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 arrêt du Tribunal fédéral 1C_216/2009 du 14 septembre 2009 consid. 5.2 ; ATA/25/2015 du 6 janvier 2015 consid. 5a). Il est de moyenne gravité lorsque le dépassement de la vitesse autorisée est, respectivement, de 21 à 24 km/h (ATF 126 II 196 consid. 2a ; arrêt du Tribunal fédéral 1C_216/2009 du 14 septembre 2009 consid. 5.2 ; ATA/25/2015 du 6 janvier 2015 consid. 5a), de 26 à 29 km/h et de 31 à 34 km/h (ATF 128 II 131 consid. 2a ; arrêt du Tribunal fédéral 1C_216/2009 du 14 septembre 2009 consid. 5.2 ; ATA/25/2015 du 6 janvier 2015 consid. 5a). Les excès de vitesse inférieurs aux valeurs susmentionnées et qui ne peuvent pas être sanctionnés par une simple amende d'ordre doivent faire l'objet au minimum d'un avertissement en raison de la mise en danger abstraite accrue à laquelle ils exposent les autres usagers de la route (arrêts du Tribunal fédéral 1C_83/2008 du 16 octobre 2008 consid. 2.1 ; 6A.52/2005 du 2 décembre 2005 consid. 2.2.3). En localité, un dépassement de la vitesse autorisée jusqu'à 15 km/h demeure sanctionné par une amende d'ordre ; au-delà, la LAO n'est pas applicable (cf. ch. 303.1 let. c de l'annexe 1 de l'OAO). Sur le plan administratif, un dépassement de plus de 15 km/h en localité ne peut être considéré comme une infraction particulièrement légère au sens de l'art. 16 al. 4 LCR (arrêt du Tribunal fédéral 6B_1028/2008 du 16 avril 2009 consid. 3.7 et les références citées), de sorte qu'il doit au minimum faire l'objet d'un avertissement (cf. par ex. arrêt du Tribunal fédéral 1C_488/2013 du 11 juillet 2013 consid. 2.4 et l'arrêt cité).</w:t>
      </w:r>
    </w:p>
    <w:p>
      <w:r>
        <w:rPr>
          <w:b/>
        </w:rPr>
        <w:t>E. 8</w:t>
      </w:r>
    </w:p>
    <w:p>
      <w:r>
        <w:t>En l’espèce, le recourant a dépassé la vitesse autorisée de 18 km/h en localité, de sorte que l'infraction en cause doit être qualifiée de légère au sens de l'art. 16a al. 1 let. a LCR, ce qu'il ne conteste d'ailleurs pas.</w:t>
      </w:r>
    </w:p>
    <w:p>
      <w:r>
        <w:rPr>
          <w:b/>
        </w:rPr>
        <w:t>E. 9</w:t>
      </w:r>
    </w:p>
    <w:p>
      <w:r>
        <w:t>L'art. 16a al. 2 LCR prévoit qu'après une infraction légère, le permis de conduire est retiré pour un mois au moins au conducteur qui a fait l'objet d'un retrait de permis ou d'une autre mesure administrative au cours des deux années précédentes. Selon l'art. 16a al. 3 LCR, un avertissement est prononcé si, au cours des deux années précédentes, le permis de conduire ne lui a pas été retiré et qu'aucune autre mesure administrative n'a été prononcée.</w:t>
      </w:r>
    </w:p>
    <w:p>
      <w:r>
        <w:t>- 5/6 - A/1514/2024</w:t>
      </w:r>
    </w:p>
    <w:p>
      <w:r>
        <w:rPr>
          <w:b/>
        </w:rPr>
        <w:t>E. 10</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Selon la jurisprudence du Tribunal fédéral, cette dernière règle s’impose à l'autorité et aux tribunaux sans dérogation possible, même pour tenir compte de besoins professionnels particuliers du conducteur (ATF 132 II 234 consid. 2 ; arrêt 1C_585/2008 du 14 mai 2009 consid. 2.1 ; cf. aussi ATA/23/2015 du 6 janvier 2015). Ainsi, si des circonstances telles que la gravité de la faute, les antécédents ou la nécessité professionnelle de conduire un véhicule automobile doivent être prises en compte pour fixer la durée du retrait, la durée minimale prescrite par la loi ne peut pas être réduite (ATF 135 II 334 consid. 2.2 ; 132 II 234 consid. 2.3 ; arrêt 1C_188/2010 du 6 septembre 2010 consid. 2.1 ; cf. aussi ATA/23/2015 du 6 janvier 2015 ; ATA/648/2013 du 1er octobre 2013 ; ATA/552/2012 du 21 août 2012).</w:t>
      </w:r>
    </w:p>
    <w:p>
      <w:r>
        <w:rPr>
          <w:b/>
        </w:rPr>
        <w:t>E. 11</w:t>
      </w:r>
    </w:p>
    <w:p>
      <w:r>
        <w:t>En l'occurrence, l'OCV qui ne s'est pas écarté du minimum légal prévu par l'art. 16a al. 2 LCR, n'a pas violé la loi, ni abusé ou excédé de son pouvoir d'appréciation en fixant à un mois la durée du retrait du permis du recourant, dès lors que celui-ci a fait l'objet d'un avertissement prononcé le 16 mai 2022, soit au cours des deux années précédant l'infraction du 26 novembre 2022, à savoir une mesure dont l'existence entraîne, de par la loi, une aggravation de sa situation. Par ailleurs, étant lié par cette durée, qui constitue le minimum légal incompressible devant sanctionner l'infraction en cause, l'OCV a correctement appliqué les règles en vigueur et n'a pas excédé ou abusé de son pouvoir d'appréciation. En particulier, le besoin professionnel du recourant d'utiliser son véhicule ne permettait pas d'alléger la mesure minimale de retrait du permis ni d'ailleurs la participation à un cours de sensibilisation à la sécurité routière comme le recourant le suggère.</w:t>
      </w:r>
    </w:p>
    <w:p>
      <w:r>
        <w:rPr>
          <w:b/>
        </w:rPr>
        <w:t>E. 12</w:t>
      </w:r>
    </w:p>
    <w:p>
      <w:r>
        <w:t>Ne reposant sur aucun motif valable, le recours sera rejeté et la décision entreprise confirmée.</w:t>
      </w:r>
    </w:p>
    <w:p>
      <w:r>
        <w:rPr>
          <w:b/>
        </w:rPr>
        <w:t>E. 13</w:t>
      </w:r>
    </w:p>
    <w:p>
      <w:r>
        <w:t>Dans la mesure où il succombe, un émolument de CHF 500.- sera mis à la charge du recourant en application de l'art. 87 al. 1 LPA et du règlement sur les frais, émoluments et indemnités en procédure administrative du 30 juillet 1986 (RFPA - E 5 10.03) ; il est couvert par l’avance de frais versée à la suite du dépôt du recours. Vu l’issue du litige, aucune indemnité de procédure ne sera allouée (art. 87 al. 2 LPA).</w:t>
      </w:r>
    </w:p>
    <w:p>
      <w:r>
        <w:t>- 6/6 - A/1514/2024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