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JTAPI/755/2024 vom 11. Januar 2022</w:t>
      </w:r>
    </w:p>
    <w:p>
      <w:r>
        <w:t>GE Cour de justice, 2022-01-11, FR</w:t>
      </w:r>
    </w:p>
    <w:p>
      <w:r>
        <w:rPr>
          <w:b/>
        </w:rPr>
        <w:t xml:space="preserve">Quelle: </w:t>
      </w:r>
      <w:r>
        <w:t>https://mcp.opencaselaw.ch/entscheid/ge_gerichte_JTAPI_755_2024</w:t>
      </w:r>
    </w:p>
    <w:p>
      <w:r>
        <w:t>FR: GE_GERICHTE JTAPI/755/2024 du 11 janvier 2022</w:t>
      </w:r>
    </w:p>
    <w:p>
      <w:r>
        <w:t>IT: GE_GERICHTE JTAPI/755/2024 del 11 gennaio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- 5/11 - A/1617/2024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son audition et celle de deux témoins, à savoir M. B______ et Mme C______, afin qu’ils confirment le contenu des attestations qu’ils ont rédigées en sa faveur, produites dans le cadre de la procédure initiale pour prouver son séjour en Suisse.</w:t>
      </w:r>
    </w:p>
    <w:p>
      <w:r>
        <w:rPr>
          <w:b/>
        </w:rPr>
        <w:t>E. 4</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Par ailleurs, ce droit ne confère pas celui d’être entendu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rPr>
          <w:b/>
        </w:rPr>
        <w:t>E. 4.3</w:t>
      </w:r>
    </w:p>
    <w:p>
      <w:r>
        <w:t>; F-2581/2017 du 3 septembre 2018 consid. 3.4 ; F-2638/2017 du 9 novembre</w:t>
      </w:r>
    </w:p>
    <w:p>
      <w:r>
        <w:t>- 9/11 - A/1617/2024 2017 consid. 5.3). Le fait d’invoquer des faits nouveaux résultant pour l’essentiel de l’écoulement du temps, que le recourant a largement favorisé, peut d’ailleurs être reconnu comme un procédé dilatoire (cf.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 Le fait d’invoquer des faits nouveaux résultant pour l’essentiel de l’écoulement du temps, que le recourant a largement favorisé, peut d’ailleurs être reconnu comme un procédé dilatoire (cf. arrêt du Tribunal fédéral 2A.271/2004 du 7 octobre 2004).</w:t>
      </w:r>
    </w:p>
    <w:p>
      <w:r>
        <w:rPr>
          <w:b/>
        </w:rPr>
        <w:t>E. 5</w:t>
      </w:r>
    </w:p>
    <w:p>
      <w:r>
        <w:t>En l’espèce, comme il sera vu ci-dessous, les faits que le recourant entend prouver par l’audition des témoins ne sont pas pertinents pour l’issue du litige. Pour le surplus,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du recourant, lequel a eu la possibilité de faire valoir ses arguments dans le cadre de son recours et de produire tout moyen de preuve utile en annexe à ses écritures. Par conséquent, les mesures d’instructions sollicitées, en soi non obligatoires, seront rejetées.</w:t>
      </w:r>
    </w:p>
    <w:p>
      <w:r>
        <w:t>- 6/11 - A/1617/2024</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L’objet du litige concerne la décision prise par l’autorité intimée le 12 avril 2024, refusant d’entrer en matière sur la demande par laquelle le recourant a sollicité la reconsidération de la décision rendue par cette même autorité le 11 janvier 2022.</w:t>
      </w:r>
    </w:p>
    <w:p>
      <w:r>
        <w:rPr>
          <w:b/>
        </w:rPr>
        <w:t>E. 9</w:t>
      </w:r>
    </w:p>
    <w:p>
      <w:r>
        <w:t>Selon l’art. 48 al. 1 LPA, les demandes en reconsidération de décisions prises par les autorités administratives sont recevables lorsqu’un motif de révision au sens de l’article 80 let. a et b LPA existe (let. a) ou lorsque les circonstances se sont modifiées dans une mesure notable depuis la première décision (let. b). 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10</w:t>
      </w:r>
    </w:p>
    <w:p>
      <w:r>
        <w:t>L’art. 80 let. b LPA, vise uniquement les faits et moyens de preuve qui existaient au moment de la première procédure, mais n’avaient alors pas été soumis au juge (faits nouveaux « anciens » ; ATA/539/2020 du 29 mai 2020 consid. 5b). Sont « nouveaux » au sens de cette disposition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w:t>
      </w:r>
    </w:p>
    <w:p>
      <w:r>
        <w:t>- 7/11 - A/1617/2024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rPr>
          <w:b/>
        </w:rPr>
        <w:t>E. 15</w:t>
      </w:r>
    </w:p>
    <w:p>
      <w:r>
        <w:t>En l’espèce, il convient de rappeler que la décision querellée constitue un refus d’entrer en matière sur la demande de reconsidération du recourant. Le contrôle juridictionnel effectué par le tribunal porte donc seulement sur la question de savoir si c’est à juste titre que l’autorité intimée a estimé ne pas être en présence d’une modification notable des circonstances au sens de l’art. 48 al. 1 let. b LPA ou d’un motif de révision au sens de l’art. 80 let. b LPA, de sorte qu’il ne saurait entrer en matière sur la conclusion du recourant tendant à l’octroi d’une autorisation de séjour en sa faveur. En l’occurrence, s’agissant des nouvelles circonstances qui seraient intervenues depuis la décision du 11 janvier 2022 refusant de lui octroyer une autorisation de séjour pour cas de rigueur – y compris sous l’angle de l’opération « Papyrus » – et le renvoyant de Suisse, le recourant met en avant le fait que son séjour en Suisse, de même que son intégration se sont poursuivis. Or, ces éléments sont uniquement dus à l’écoulement du temps et au non-respect de la décision de refus et de renvoi prononcée à son encontre le 11 janvier 2022, devenue exécutoire après avoir été contestée en vain devant le tribunal de céans. Le recourant se prévaut également des justificatifs de séjour transmis dans le cadre de sa demande initiale et de moyens de preuve nouveaux censés démontrer la longue durée de son séjour en Suisse. S’agissant des premiers documents, et en particulier les attestations établies par M. B______ et par Mme C______, ils ont déjà été examinés par le tribunal dans son jugement du 11 juillet 2022 (JTAPI/721/2022), lequel, procédant à une appréciation d’ensemble des éléments du dossier, a retenu que même s’il fallait admettre que l’intéressé avait séjourné en Suisse de manière plus ou moins ininterrompue entre 2008 et 2013, il s’était ensuite absenté durant deux longues périodes, de décembre 2013 à avril 2014, puis de septembre 2015 à mai 2016 (cf. consid. 15 du jugement précité), de sorte qu’il pouvait prétendre à un séjour continu en Suisse que depuis mai 2016. Le tribunal relèvera à cet égard que l’audition de M. B______ et de Mme C______ n’aurait pas permis d’infirmer ce qui précède, dès lors que les périodes couvertes par les</w:t>
      </w:r>
    </w:p>
    <w:p>
      <w:r>
        <w:t>- 10/11 - A/1617/2024 attestations qu’ils ont rédigées sont antérieures aux deux périodes d’absence susmentionnées. S’agissant de l’attestation des HUG du 22 janvier 2024, comme le relève l’autorité intimée, si elle indique que le recourant est suivi au service de médecine de premier recours depuis le 4 novembre 2014, elle ne précise pas les dates des consultations depuis cette date. Ce document est donc insuffisant à établir la présence du recourant à Genève durant la période concernée. Au demeurant, il ne s’agit pas là d’un fait nouveau dès lors qu’il aurait pu être invoqué dans le cadre de la procédure initiale. Quant à la procédure pénale pour séjour illégal et travail sans autorisation ouverte à l’encontre du recourant, laquelle concerne une période postérieure à la précédente procédure, le tribunal ne voit pas en quoi elle constituerait un fait important commandant un réexamen obligatoire de la situation de ce dernier, étant relevé que cette procédure a fait l’objet d’une ordonnance de classement. Le recourant invoque encore le fait que l’exécution de son renvoi serait inexigible, disproportionnée et contraire à la CEDH. Il ne fait valoir toutefois pas de motif de révision ni de changement notable de la situation qui ferait obstacle audit renvoi, respectivement qui serait de nature à modifier l’appréciation juridique du dossier à laquelle ont procédé l’OCPM puis le tribunal.</w:t>
      </w:r>
    </w:p>
    <w:p>
      <w:r>
        <w:rPr>
          <w:b/>
        </w:rPr>
        <w:t>E. 16</w:t>
      </w:r>
    </w:p>
    <w:p>
      <w:r>
        <w:t>Au vu de ce qui précède, le tribunal retient qu’il n’existe pas de motif de révision ni modification notable des circonstances depuis le prononcé de la décision du 11 janvier 2022. Il en résulte que, sauf à aboutir à un résultat qu’il s’agit d’éviter, à savoir permettre à un justiciable de remettre sans cesse en cause une décision entrée en force, l’autorité intimée était fondée à refuser d’entrer en matière sur la demande de reconsidération formée par le recourant.</w:t>
      </w:r>
    </w:p>
    <w:p>
      <w:r>
        <w:rPr>
          <w:b/>
        </w:rPr>
        <w:t>E. 17</w:t>
      </w:r>
    </w:p>
    <w:p>
      <w:r>
        <w:t>Le recours sera ainsi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700.-, qui tient compte notamment de la décision incidente rendue dans la présente procédure ; il est partiellement couvert par l’avance de frais de même CHF 500.-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- 11/11 - A/1617/2024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