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JTAPI/747/2024 vom 5. August 2024</w:t>
      </w:r>
    </w:p>
    <w:p>
      <w:r>
        <w:t>GE Cour de justice, 2024-08-05, FR</w:t>
      </w:r>
    </w:p>
    <w:p>
      <w:r>
        <w:rPr>
          <w:b/>
        </w:rPr>
        <w:t xml:space="preserve">Quelle: </w:t>
      </w:r>
      <w:r>
        <w:t>https://mcp.opencaselaw.ch/entscheid/ge_gerichte_JTAPI_747_2024</w:t>
      </w:r>
    </w:p>
    <w:p>
      <w:r>
        <w:t>FR: GE_GERICHTE JTAPI/747/2024 du 5 août 2024</w:t>
      </w:r>
    </w:p>
    <w:p>
      <w:r>
        <w:t>IT: GE_GERICHTE JTAPI/747/2024 del 5 agosto 2024</w:t>
      </w:r>
    </w:p>
    <w:p>
      <w:pPr>
        <w:pStyle w:val="Heading2"/>
      </w:pPr>
      <w:r>
        <w:t>Erwägungen</w:t>
      </w:r>
    </w:p>
    <w:p>
      <w:r>
        <w:rPr>
          <w:b/>
        </w:rPr>
        <w:t>E. 18</w:t>
      </w:r>
    </w:p>
    <w:p>
      <w:r>
        <w:t>Il ressort de ce qui précède que l'OCPM n'a violé ni le droit conventionnel, ni le droit fédéral, ni encore excédé ou abusé de son pouvoir d'appréciation (art. 96 LEI) en refusant de délivrer l'autorisation de séjour sollicitée.</w:t>
      </w:r>
    </w:p>
    <w:p>
      <w:r>
        <w:rPr>
          <w:b/>
        </w:rPr>
        <w:t>E. 19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20</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21</w:t>
      </w:r>
    </w:p>
    <w:p>
      <w:r>
        <w:t>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le recourant pouvant tout à fait, en cas de craintes pour sa vie – lesquelles ne sont toutefois pas étayées -, s’installer dans une autre ville que celle où demeure l’ami de son ex-femme.</w:t>
      </w:r>
    </w:p>
    <w:p>
      <w:r>
        <w:t>- 13/14 - A/1361/2024</w:t>
      </w:r>
    </w:p>
    <w:p>
      <w:r>
        <w:rPr>
          <w:b/>
        </w:rPr>
        <w:t>E. 22</w:t>
      </w:r>
    </w:p>
    <w:p>
      <w:r>
        <w:t>Infondé, le recours sera rejeté et la décision contestée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- 14/14 - A/1361/2024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