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JTAPI/743/2022 vom 8. Januar 2008</w:t>
      </w:r>
    </w:p>
    <w:p>
      <w:r>
        <w:t>GE Cour de justice, 2008-01-08, FR</w:t>
      </w:r>
    </w:p>
    <w:p>
      <w:r>
        <w:rPr>
          <w:b/>
        </w:rPr>
        <w:t xml:space="preserve">Quelle: </w:t>
      </w:r>
      <w:r>
        <w:t>https://mcp.opencaselaw.ch/entscheid/ge_gerichte_JTAPI_743_2022</w:t>
      </w:r>
    </w:p>
    <w:p>
      <w:r>
        <w:t>FR: GE_GERICHTE JTAPI/743/2022 du 8 janvier 2008</w:t>
      </w:r>
    </w:p>
    <w:p>
      <w:r>
        <w:t>IT: GE_GERICHTE JTAPI/743/2022 del 8 gennaio 2008</w:t>
      </w:r>
    </w:p>
    <w:p>
      <w:pPr>
        <w:pStyle w:val="Heading2"/>
      </w:pPr>
      <w:r>
        <w:t>Erwägungen</w:t>
      </w:r>
    </w:p>
    <w:p>
      <w:r>
        <w:rPr>
          <w:b/>
        </w:rPr>
        <w:t>E. 22</w:t>
      </w:r>
    </w:p>
    <w:p>
      <w:r>
        <w:t>Selon la jurisprudence, un étranger peut, en fonction des circonstances, se prévaloir du droit au respect de sa vie familiale garanti par l'art. 8 par. 1 de la</w:t>
      </w:r>
    </w:p>
    <w:p>
      <w:r>
        <w:t>- 25/28 - A/2906/2021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 2C_253/2010 du 18 juillet 2011 consid. 1.5).</w:t>
      </w:r>
    </w:p>
    <w:p>
      <w:r>
        <w:rPr>
          <w:b/>
        </w:rPr>
        <w:t>E. 23</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 2C_398/2019 du 1er mai 2019 consid. 3.1 ; 2C_1042/2018 du</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27</w:t>
      </w:r>
    </w:p>
    <w:p>
      <w:r>
        <w:t>Le recourant n'obtenant pas d'autorisation de séjour, c'est également à bon droit que l'autorité intimée a prononcé son renvoi de Suisse. Pour le surplus, il n'apparaît pas que l'exécution de cette mesure ne serait pas possible, serait illicite ou qu'elle ne pourrait être raisonnablement exigée (art. 83 LEI).</w:t>
      </w:r>
    </w:p>
    <w:p>
      <w:r>
        <w:t>- 27/28 - A/2906/2021</w:t>
      </w:r>
    </w:p>
    <w:p>
      <w:r>
        <w:rPr>
          <w:b/>
        </w:rPr>
        <w:t>E. 28</w:t>
      </w:r>
    </w:p>
    <w:p>
      <w:r>
        <w:t>Compte tenu de ce qui précède, le recours, mal fondé, doit être rejeté.</w:t>
      </w:r>
    </w:p>
    <w:p>
      <w:r>
        <w:rPr>
          <w:b/>
        </w:rPr>
        <w:t>E. 29</w:t>
      </w:r>
    </w:p>
    <w:p>
      <w:r>
        <w:t>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rPr>
          <w:b/>
        </w:rPr>
        <w:t>E. 30</w:t>
      </w:r>
    </w:p>
    <w:p>
      <w:r>
        <w:t>En vertu des art. 89 al. 2 et 111 al. 2 de la loi sur le Tribunal fédéral du 17 juin 2005 (LTF - RS 173.110), le présent jugement sera communiqué au SEM.</w:t>
      </w:r>
    </w:p>
    <w:p>
      <w:r>
        <w:t>- 28/28 - A/2906/2021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