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JTAPI/737/2024 vom 30. Juli 2024</w:t>
      </w:r>
    </w:p>
    <w:p>
      <w:r>
        <w:t>GE Cour de justice, 2024-07-30, FR</w:t>
      </w:r>
    </w:p>
    <w:p>
      <w:r>
        <w:rPr>
          <w:b/>
        </w:rPr>
        <w:t xml:space="preserve">Quelle: </w:t>
      </w:r>
      <w:r>
        <w:t>https://mcp.opencaselaw.ch/entscheid/ge_gerichte_JTAPI_737_2024</w:t>
      </w:r>
    </w:p>
    <w:p>
      <w:r>
        <w:t>FR: GE_GERICHTE JTAPI/737/2024 du 30 juillet 2024</w:t>
      </w:r>
    </w:p>
    <w:p>
      <w:r>
        <w:t>IT: GE_GERICHTE JTAPI/737/2024 del 30 luglio 2024</w:t>
      </w:r>
    </w:p>
    <w:p>
      <w:pPr>
        <w:pStyle w:val="Heading2"/>
      </w:pPr>
      <w:r>
        <w:t>Erwägungen</w:t>
      </w:r>
    </w:p>
    <w:p>
      <w:r>
        <w:rPr>
          <w:b/>
        </w:rPr>
        <w:t>E. 1</w:t>
      </w:r>
    </w:p>
    <w:p>
      <w:r>
        <w:t>Le Tribunal administratif de première instance connaît des recours dirigés, comme en l’espèce, contre les décisions de l’office cantonal des véhicules (art. 115 al. 1 et 116 al. 1 de la loi sur l’organisation judiciaire du 26 septembre 2010 - LOJ - E 2 05 ; art. 17 de la loi d’application de la législation fédérale sur la circulation routière du 18 décembre 1987 - LaLCR - H 1 05).</w:t>
      </w:r>
    </w:p>
    <w:p>
      <w:r>
        <w:rPr>
          <w:b/>
        </w:rPr>
        <w:t>E. 2</w:t>
      </w:r>
    </w:p>
    <w:p>
      <w:r>
        <w:t>Interjeté en temps utile et dans les formes prescrites devant la juridiction compétente, le recours est recevable au sens des art.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non réalisée en l’espèce (art. 61 al. 2 LPA). Il y a en particulier abus du pouvoir d’appréciation lorsque l’autorité se fonde sur des considérations qui manquent de pertinence et sont étrangères au but visé par les dispositions légales applicables, ou lorsqu’elle viole les principes généraux du droit tels que l’interdiction de l’arbitraire, l’inégalité de traitement, le principe de la bonne foi et le principe de la proportionnalité (ATF 143 III 140 consid. 4.1.3 ; 140 I 257 consid. 6.3.1 ; 137 V 71 consid. 5.1 ; arrêt du Tribunal fédéral 8C_763/2017 du 30 octobre 2018 consid. 4.2).</w:t>
      </w:r>
    </w:p>
    <w:p>
      <w:r>
        <w:rPr>
          <w:b/>
        </w:rPr>
        <w:t>E. 4</w:t>
      </w:r>
    </w:p>
    <w:p>
      <w:r>
        <w:t>Le recourant conclut préalablement à son audition et à celle de témoins, ainsi qu'à la tenue d'un transport sur place.</w:t>
      </w:r>
    </w:p>
    <w:p>
      <w:r>
        <w:rPr>
          <w:b/>
        </w:rPr>
        <w:t>E. 5</w:t>
      </w:r>
    </w:p>
    <w:p>
      <w:r>
        <w:t>Tel que garanti par l'art. 29 al. 2 de la Constitution fédérale de la Confédération suisse du 18 avril 1999 (Cst. - RS 101), le droit d'être entendu comprend notamment le droit pour le justiciable de produire des preuves pertinentes et d'obtenir qu'il soit donné suite à ses offres de preuves pertinentes, lorsque cela est de nature à influer sur la décision à rendre (cf. ATF 142 II 218 consid. 2.3 ; 140 I 285 consid. 6.3.1).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138 III 374 consid. 4.3.2 ; 136 I 229 consid. 5.2 ; ATA/168/2020 du 11 février 2020 consid. 2 et les références citées). Par ailleurs, il ne confère pas le droit d'être entendu oralement, ni celui d'obtenir l'audition de témoins (art. 41 in fine LPA ; ATF 134 I 140 consid. 5.3 ; arrêts du Tribunal fédéral 2D_51/2018 du 17 janvier 2019 consid. 4.1 ; 2C_901/2014 du 27 janvier 2015 consid. 3).</w:t>
      </w:r>
    </w:p>
    <w:p>
      <w:r>
        <w:t>- 6/10 - A/1065/2024</w:t>
      </w:r>
    </w:p>
    <w:p>
      <w:r>
        <w:rPr>
          <w:b/>
        </w:rPr>
        <w:t>E. 6</w:t>
      </w:r>
    </w:p>
    <w:p>
      <w:r>
        <w:t>En l'espèce, s'agissant de l'audition de témoins, le recourant n’explique pas quels éléments les intéressés viendraient apporter en audience que la procédure écrite ne lui permettait pas déjà d’exprimer. S'agissant de sa propre audition, le recourant a pu de même développer son argumentation dans son recours et déposer les pièces justificatives qu'il estimait utiles et le tribunal estime disposer d'éléments suffisants et nécessaires pour statuer immédiatement sur le litige. S'agissant en particulier de son état psychologique lié au déclenchement des hostilités armées contre l'Arménie de la part de l'Azerbaïdjan, on verra plus loin qu'il n'y a pas lieu d'en tenir compte, de sorte que les explications qu'il pourrait donner à ce sujet seraient en tout état non pertinentes. Dès lors, il ne se justifie pas de procéder aux auditions requises.</w:t>
      </w:r>
    </w:p>
    <w:p>
      <w:r>
        <w:rPr>
          <w:b/>
        </w:rPr>
        <w:t>E. 7</w:t>
      </w:r>
    </w:p>
    <w:p>
      <w:r>
        <w:t>Enfin, le transport sur place requis par le recourant est lui aussi inutile. Le fait que la route soit rectiligne à l'endroit où les infractions ont été commises, aussi bien que l'impression que l'on peut avoir quant au fait de circuler en dehors d'une localité, demeurent sans incidence sur la présente cause, comme il en sera question plus bas.</w:t>
      </w:r>
    </w:p>
    <w:p>
      <w:r>
        <w:rPr>
          <w:b/>
        </w:rPr>
        <w:t>E. 8</w:t>
      </w:r>
    </w:p>
    <w:p>
      <w:r>
        <w:t>À teneur de l’art. 42 al. 1 de la convention sur la circulation routière du 8 novembre 1968 (RS 0.741.10), conclue à Vienne le 8 novembre 1968, entrée en vigueur pour la Suisse le 11 décembre 1992 et pour la France le 21 mai 1977, les parties contractantes ou leurs subdivisions peuvent retirer à un conducteur, qui commet sur leur territoire une infraction susceptible d’entraîner le retrait du permis de conduire en vertu de leur législation, le droit de faire usage sur leur territoire du permis de conduire, national ou international dont il est titulaire. Le droit suisse prévoit que l’usage d’un permis étranger peut être interdit en vertu des dispositions qui s’appliquent au retrait du permis de conduire suisse (art. 45 al. 1 de l’ordonnance réglant l’admission à la circulation routière du 27 octobre 1976 - OAC - RS 741.51). Les règles et principes énoncés ci-après sont donc applicables à l’interdiction de faire usage du permis de conduire étranger, notamment allemand, sur le territoire suisse.</w:t>
      </w:r>
    </w:p>
    <w:p>
      <w:r>
        <w:rPr>
          <w:b/>
        </w:rPr>
        <w:t>E. 9</w:t>
      </w:r>
    </w:p>
    <w:p>
      <w:r>
        <w:t>Lorsque la procédure prévue par la loi fédérale sur les amendes d’ordre du 24 juin 1970 (LAO - RS 741.03) n’est pas applicable, une infraction aux prescriptions sur la circulation routière entraîne le retrait du permis de conduire ou un avertissement (art. 16 al. 2 LCR).</w:t>
      </w:r>
    </w:p>
    <w:p>
      <w:r>
        <w:rPr>
          <w:b/>
        </w:rPr>
        <w:t>E. 10</w:t>
      </w:r>
    </w:p>
    <w:p>
      <w:r>
        <w:t>Pour déterminer la durée et s’il y a lieu de prononcer un retrait d’admonestation, la LCR distingue les infractions légères, moyennement graves et graves (art. 16a à 16c LCR). Commet en particulier une infraction grave, selon l’art. 16c al. 1 let. a LCR, la personne qui, en violant gravement les règles de la circulation, met sérieusement en danger la sécurité d’autrui ou en prend le risque. La qualification du cas grave au sens de cette disposition correspond à celle de l’art. 90 al. 2 LCR (cf. ATF 132 II 234 consid. 3 ; 123 II 37 consid. 1b ; arrêts du Tribunal fédéral 6B.264/2007 du 19 septembre 2007 consid. 3.1 ; 6A.80/2004 du 31 janvier</w:t>
      </w:r>
    </w:p>
    <w:p>
      <w:r>
        <w:t>- 7/10 - A/1065/2024 2005 consid. 3.1 ; ATA/392/2010 du 8 juin 2010 consid. 6 ; ATA/456/2009 du 15 septembre 2009 consid. 8c).</w:t>
      </w:r>
    </w:p>
    <w:p>
      <w:r>
        <w:rPr>
          <w:b/>
        </w:rPr>
        <w:t>E. 11</w:t>
      </w:r>
    </w:p>
    <w:p>
      <w:r>
        <w:t>De jurisprudence constante, les limitations de vitesse, telles qu’elles résultent de la loi ou de la signalisation routière, valent comme limites au-delà desquelles la sécurité de la route est compromise. Elles indiquent aux conducteurs les seuils à partir desquels le danger est assurément présent. Leur respect est donc essentiel à la sécurité du trafic. En la matière, la jurisprudence a été amenée à fixer des règles précises afin d’assurer l’égalité de traitement entre conducteurs. Ainsi, les seuils fixés par la jurisprudence pour distinguer le cas de peu de gravité, le cas de moyenne gravité et le cas grave tiennent compte de la nature particulière du danger représenté pour les autres usagers de la route selon que l’excès de vitesse est commis sur une autoroute, sur une semi-autoroute, sur une sortie d’autoroute, etc. (cf. arrêts du Tribunal fédéral 1C_216/2009 du 14 septembre 2009 consid. 5.2; 1C_83/2008 du</w:t>
      </w:r>
    </w:p>
    <w:p>
      <w:r>
        <w:rPr>
          <w:b/>
        </w:rPr>
        <w:t>E. 16</w:t>
      </w:r>
    </w:p>
    <w:p>
      <w:r>
        <w:t>octobre 2008 et les références citées). Le cas est objectivement grave, c’est-à-dire sans égard aux circonstances concrètes ou encore à la bonne réputation du conducteur, en cas de dépassement de la vitesse autorisée de 25 km/h ou plus à l’intérieur des localités, de 30 km/h ou plus hors des localités et sur les semi-autoroutes dont les chaussées, dans les deux directions, ne sont pas séparées et de 35 km/h ou plus sur les autoroutes (ATF 132 II 234 consid. 3.2). On soulignera ici que ces seuils ont été fixés par la jurisprudence en tenant compte du fait que les dépassements en question sont commis dans des conditions de circulation idéales. Ainsi, le fait que la route soit rectiligne ou que la visibilité soit optimale ne diminue pas le degré de danger atteint par un certain dépassement de la vitesse autorisée, mais fait partie de la définition de ce danger. Lorsque les conditions de la circulation sont défavorables, le danger est accru (à vitesse égale) et la gravité de l'infraction croît également.</w:t>
      </w:r>
    </w:p>
    <w:p>
      <w:r>
        <w:t>Par ailleurs, selon l'art. 31 LCR, le conducteur doit rester constamment maître de son véhicule de façon à pouvoir se conformer aux devoirs de la prudence (al. 1). Toute personne qui n’a pas les capacités physiques et psychiques nécessaires pour conduire un véhicule parce qu’elle est sous l’influence de l’alcool, de stupéfiants, de médicaments ou pour d’autres raisons, est réputée incapable de conduire pendant cette période et doit s’en abstenir (al. 2).</w:t>
      </w:r>
    </w:p>
    <w:p>
      <w:r>
        <w:t>Cette disposition implique notamment de pouvoir demeurer maître de ses émotions (colère, peur, etc.), de manière à ce que celles-ci n'altèrent pas la capacité de conduire de manière conforme aux devoirs de la prudence. Une personne soumise à des émotions trop importantes et qui risque pour cette raison de se comporter de manière contraire à la prudence, doit alors s'abstenir de conduire. 12. Aux termes de l’art. 16c al. 2 let. a LCR, après une infraction grave, le permis de conduire est retiré pour trois mois au minimum. Si le conducteur a des antécédents (ce qui n’est pas le cas en l’occurrence), la durée minimum du retrait est supérieure (cf. art. 16c al. 2 let. b, c, d et e LCR).</w:t>
      </w:r>
    </w:p>
    <w:p>
      <w:r>
        <w:t>- 8/10 - A/1065/2024 13. Selon l’art. 16 al. 3 LCR,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 la durée minimale du retrait ne peut toutefois être réduite. Cette dernière règle, qui rend incompressibles les durées minimales de retrait des permis, s’impose à l’autorité et aux tribunaux sans dérogation possible, même pour tenir compte des besoins professionnels – ou autres – particuliers du conducteur ; le législateur a en effet entendu exclure expressément la possibilité ouverte par la jurisprudence sous l’ancien droit de réduire la durée minimale du retrait en présence de circonstances particulières, notamment en faveur de conducteurs professionnels (ATF 135 II 334 consid. 2.2 ; 132 II 234 consid. 2.3 ; arrêts du Tribunal fédéral 1C_414/2019 du 28 août 2019 consid. 2 ; 1C_535/2017 du 16 octobre 2017 consid. 3 ; 1C_102/2016 du</w:t>
      </w:r>
    </w:p>
    <w:p>
      <w:r>
        <w:rPr>
          <w:b/>
        </w:rPr>
        <w:t>E. 20</w:t>
      </w:r>
    </w:p>
    <w:p>
      <w:r>
        <w:t>décembre 2016 consid. 2.5). 14. Le tribunal a confirmé des mesures de retrait du permis s'écartant du minimum légal, compte-tenu de l'importance de l'excès de vitesse, soit quatre mois pour un dépassement de 35 km/h en localité (JTAPI/1272/2014 du 18 novembre 2014, JTAPI/272/2014 du 18 mars 2014 et JTAPI/1107/2018 du 13 novembre 2018), cinq mois pour un dépassement de 42 km/h (JTAPI/17/2015 du 8 janvier 2015), cinq mois pour un dépassement de 55 km/h hors localité (JTAPI/614/2017 du 6 juin 2017), six mois pour un dépassement de 49 km/h en localité (JTAPI/907/2013 du</w:t>
      </w:r>
    </w:p>
    <w:p>
      <w:r>
        <w:rPr>
          <w:b/>
        </w:rPr>
        <w:t>E. 21</w:t>
      </w:r>
    </w:p>
    <w:p>
      <w:r>
        <w:t>août 2013) et de six mois pour un dépassement de 46 km/h en localité (JTAPI/235/2015 du 24 février 2015). 15. En l’espèce, les dépassements de la vitesse autorisée de 47 km/h et 30km/h, marge de sécurité déduite, en localité, ne sont en soi pas contesté. Conformément à la jurisprudence fédérale, de telles infractions doivent être qualifiées de grave au sens de l’art. 16c al. 1 let. a LCR, voire même très grave en ce qui concerne la première. S’agissant de la durée de l’interdiction de faire usage du permis de conduire en Suisse, l’autorité intimée l’a fixée à six mois. Elle a justifié sa décision de s’écarter du minimum légal prévu par l’art. 16c al. 2 let. a LCI, compte tenu de l’importance de l’excès de vitesse commis à 14h01 (97 km/h, marge de sécurité déduite, sur un tronçon limité à 50 km/h), tout en prenant en considération le besoin professionnel du recourant. Le dossier ne contient aucun élément particulier qui permettrait éventuellement de considérer le cas comme de moindre gravité, étant rappelé que deux infractions graves ont été commises coup sur coup. De plus, comme indiqué ci-avant, le besoin professionnel du recourant, employé comme assistant logistique, a bien été pris en considération, étant précisé, comme l’OCV l’a relevé, que sa participation au cours imparti par le BPA pourrait réduire d’un mois maximum la durée de la mesure prononcée à son encontre. Rien n’empêche dès lors le recourant de s’inscrire à un tel cours en vue d’obtenir une levée anticipée de la mesure.</w:t>
      </w:r>
    </w:p>
    <w:p>
      <w:r>
        <w:t>- 9/10 - A/1065/2024 L'infraction commise par le recourant - excès de vitesse de 47 km/h, marge de sécurité déduite, sur un tronçon limité à 50 km/h - se situe à la limite du « délit de chauffard » définie par le législateur. L'art 16c al. 2 let. abis LCR, cum art. 90 al. 4 LCR, stipulent en effet que le permis d'élève conducteur ou le permis de conduire est retiré pour deux ans au moins si, par une violation intentionnelle des règles fondamentales de la circulation, la personne accepte de courir un grand risque d'accident pouvant entraîner de graves blessures ou la mort, notamment en commettant des excès de vitesse particulièrement importants, ce qui est le cas lorsque la vitesse maximale autorisée a été dépassée d'au moins 50 km/h, là où la limite était fixée à 50 km/h. L'état de confusion généralisé dans lequel, selon lui, le recourant se trouvait n'est pas à même d'influencer la mesure prise par l'OCV, étant rappelé que, conformément à l'art. 31 al. 2 LCR cité ci-dessus, toute personne qui n’a pas les capacités psychiques nécessaires pour conduire un véhicule, est réputée incapable de conduire pendant cette période et doit s’en abstenir. Par ailleurs, comme également relevé plus haut (cf. consid. 11), le fait que les conditions de circulation étaient favorables au moment des faits ou que le recourant, en se fondant sur son appréciation personnelle et en négligeant la signalisation routière, ait pu se croire hors localité, ne change rien au danger qu'il a fait naître par son comportement. 16. Eu égard à la casuistique citée plus haut (cf. consid. 14), le tribunal estime que l’OCV n’a pas excédé ou abusé de son large pouvoir d’appréciation en prononçant une mesure d'une durée de six mois qui s’écarte du minimum légal de trois mois, nonobstant l’existence pour le recourant d’un besoin professionnel de conduire. La décision querellée ne peut dès lors qu’être confirmée. À toutes fins utile, il sera relevé qu’une autorisation pour faire usage du permis de conduire malgré l’interdiction pour les trajets professionnels ne saurait être délivrée dans la présente espèce, dès lors que le recourant a commis une faute grave, de sorte que les conditions cumulatives de l’art. 33 al. 5 OAC ne sont pas remplies. 17. Mal fondé, le recours sera rejeté. 18. 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du même montant versée à la suite du dépôt du recours. Aucune indemnité de procédure ne sera allouée</w:t>
      </w:r>
    </w:p>
    <w:p>
      <w:r>
        <w:t>- 10/10 - A/1065/2024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