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JTAPI/733/2024 vom 26. Juli 2024</w:t>
      </w:r>
    </w:p>
    <w:p>
      <w:r>
        <w:t>GE Cour de justice, 2024-07-26, FR</w:t>
      </w:r>
    </w:p>
    <w:p>
      <w:r>
        <w:rPr>
          <w:b/>
        </w:rPr>
        <w:t xml:space="preserve">Quelle: </w:t>
      </w:r>
      <w:r>
        <w:t>https://mcp.opencaselaw.ch/entscheid/ge_gerichte_JTAPI_733_2024</w:t>
      </w:r>
    </w:p>
    <w:p>
      <w:r>
        <w:t>FR: GE_GERICHTE JTAPI/733/2024 du 26 juillet 2024</w:t>
      </w:r>
    </w:p>
    <w:p>
      <w:r>
        <w:t>IT: GE_GERICHTE JTAPI/733/2024 del 26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- 8/16 - A/788/2024 traités internationaux conclus par la Suisse (cf. art. 1 et 2 LEI), ce qui est le cas pour les ressortissants d’Égypte.</w:t>
      </w:r>
    </w:p>
    <w:p>
      <w:r>
        <w:rPr>
          <w:b/>
        </w:rPr>
        <w:t>E. 7</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8</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9</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w:t>
      </w:r>
    </w:p>
    <w:p>
      <w:r>
        <w:rPr>
          <w:b/>
        </w:rPr>
        <w:t>E. 10</w:t>
      </w:r>
    </w:p>
    <w:p>
      <w:r>
        <w:t>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LEI et que la seconde demande intervienne également dans ces délais (cf. ATF 137 II 393 consid. 3.3 ; arrêts du Tribunal fédéral 2C_409/2018 du 23 janvier 2019 consid. 3.10, 2C_323/2018 du 21 septembre 2018 consid. 3 ; 2C_259/2018 du 9 novembre 2018 consid. 3.1, 2C_787/2016 du 18 janvier 2017 consid. 5 et la jurisprudence citée).</w:t>
      </w:r>
    </w:p>
    <w:p>
      <w:r>
        <w:rPr>
          <w:b/>
        </w:rPr>
        <w:t>E. 11</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 arrêt du Tribunal</w:t>
      </w:r>
    </w:p>
    <w:p>
      <w:r>
        <w:t>- 9/16 - A/788/2024 fédéral 2C_84/2010 du 1er octobre 2010 ; ATA/313/2019 du 26 mars 2019 consid. 7b).</w:t>
      </w:r>
    </w:p>
    <w:p>
      <w:r>
        <w:rPr>
          <w:b/>
        </w:rPr>
        <w:t>E. 12</w:t>
      </w:r>
    </w:p>
    <w:p>
      <w:r>
        <w:t>Les délais prévus à l’art. 47 LEI visent à permettre une intégration précoce (ATF 133 II 6 consid. 5.4 ; arrêt du Tribunal fédéral 2C_1176/2016 du 26 juillet 2017 consid. 4.2.) et ont également pour objectif la régulation de l’afflux d’étrangers (arrêt du Tribunal fédéral 2C_1/2017 du 22 mai 2017 consid. 4.1.2). Ces buts étatiques légitimes sont compatibles avec la CEDH (ATF 142 II 35 consid. 6.1).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13</w:t>
      </w:r>
    </w:p>
    <w:p>
      <w:r>
        <w:t>En l’espèce, titulaire d’une autorisation de séjour depuis le 14 septembre 2015, le recourant devait solliciter le regroupement familial sur la base de l’art. 44 al. 1 LEI dans un délai impératif de cinq ans, soit jusqu’au 14 septembre 2020. Déposée le 29 mai 2023, sa demande est donc tardive, ce qui n’est pas contesté. À cet égard, le fait que le transfert du droit de garde n’aurait eu lieu qu’en 2023 est sans pertinence, dans la mesure où le lien de filiation entre B______ et son père est établi depuis la naissance de ce dernier.</w:t>
      </w:r>
    </w:p>
    <w:p>
      <w:r>
        <w:rPr>
          <w:b/>
        </w:rPr>
        <w:t>E. 14</w:t>
      </w:r>
    </w:p>
    <w:p>
      <w:r>
        <w:t>Passé le délai de l’art. 47 al. 1 LEI, l’autorisation sollicité ne peut être délivrée que pour des raisons familiales majeures (al. 4).</w:t>
      </w:r>
    </w:p>
    <w:p>
      <w:r>
        <w:rPr>
          <w:b/>
        </w:rPr>
        <w:t>E. 15</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w:t>
      </w:r>
    </w:p>
    <w:p>
      <w:r>
        <w:rPr>
          <w:b/>
        </w:rPr>
        <w:t>E. 16</w:t>
      </w:r>
    </w:p>
    <w:p>
      <w:r>
        <w:t>Des raisons familiales majeures sont données au sens de l'art. 47 al. 4 LEI notamment le cas lorsque des enfants se trouveraient livrés à eux-mêmes dans leur pays d'origine, par exemple en cas de décès ou de maladie de la personne qui en a la charge (arrêt du Tribunal fédéral (2C_1025/2017 du 22 mai 2018 consid. 6.1). 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w:t>
      </w:r>
    </w:p>
    <w:p>
      <w:r>
        <w:t>- 10/16 - A/788/2024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rPr>
          <w:b/>
        </w:rPr>
        <w:t>E. 17</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w:t>
      </w:r>
    </w:p>
    <w:p>
      <w:r>
        <w:rPr>
          <w:b/>
        </w:rPr>
        <w:t>E. 18</w:t>
      </w:r>
    </w:p>
    <w:p>
      <w:r>
        <w:t>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 familial, social et culturel (nouvelles personnes de référence à la maison et à l'école, nouveau mode de vie, acquisition d'une nouvelle langue, éventuellement rattrapage de programmes scolaires, etc.). En effet, ils sont moins enclins à rencontrer des difficultés d'intégration dues au déracinement que les jeunes et les adolescents (ATF 133 II 6 consid. 5.3).</w:t>
      </w:r>
    </w:p>
    <w:p>
      <w:r>
        <w:rPr>
          <w:b/>
        </w:rPr>
        <w:t>E. 19</w:t>
      </w:r>
    </w:p>
    <w:p>
      <w:r>
        <w:t>Selon la jurisprudence,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w:t>
      </w:r>
    </w:p>
    <w:p>
      <w:r>
        <w:t>- 11/16 - A/788/2024 de regroupement familial intervient après de nombreuses années de séparation, de procéder à un examen de l'ensemble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20</w:t>
      </w:r>
    </w:p>
    <w:p>
      <w:r>
        <w:t>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w:t>
      </w:r>
    </w:p>
    <w:p>
      <w:r>
        <w:rPr>
          <w:b/>
        </w:rPr>
        <w:t>E. 21</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w:t>
      </w:r>
    </w:p>
    <w:p>
      <w:r>
        <w:rPr>
          <w:b/>
        </w:rPr>
        <w:t>E. 25</w:t>
      </w:r>
    </w:p>
    <w:p>
      <w:r>
        <w:t>L’examen de la situation sous l’angle des art. 8 CEDH et 13 Cst., en lien avec l'art. 96 LEI, ne conduit pas à un résultat différent. En effet, comme indiqué plus haut, l'art. 47 al. 4 LEI doit demeurer l'exception et le fait de conditionner le regroupement familial différé aux conditions posées par le droit interne, en particulier la présence de raisons familiales majeures, est compatible avec le droit au respect de la vie familiale garanti à l'art. 8 CEDH. Au demeurant, le recourant n'a pas demandé le regroupement familial dans le délai légal, ni démontré avoir entretenu une relation véritablement étroite et effective, au sens où l'entend la jurisprudence, avec son fils dont il vit éloigné, par choix, depuis plus de dix ans. Ces éléments impliquent déjà que le recourant ne peut pas invoquer l'art. 8 CEDH</w:t>
      </w:r>
    </w:p>
    <w:p>
      <w:r>
        <w:t>- 15/16 - A/788/2024 pour obtenir une autorisation de séjour en faveur de son fils. En tout état, dans la mesure où le recourant aurait été libre de déposer sa demande de regroupement dès l’obtention de son autorisation de séjour en 2015, mais qu’il ne l’a pas fait avant mai 2023, il n'apparaît pas disproportionné d'attendre de lui et de son fils qu'ils continuent à vivre leur relation comme ils l’ont fait jusqu’à présent, soit en résidant dans des pays différents.</w:t>
      </w:r>
    </w:p>
    <w:p>
      <w:r>
        <w:rPr>
          <w:b/>
        </w:rPr>
        <w:t>E. 26</w:t>
      </w:r>
    </w:p>
    <w:p>
      <w:r>
        <w:t>La décision litigieuse est aussi conforme à la CDE qui n'accorde aucun droit au regroupement familial.</w:t>
      </w:r>
    </w:p>
    <w:p>
      <w:r>
        <w:rPr>
          <w:b/>
        </w:rPr>
        <w:t>E. 27</w:t>
      </w:r>
    </w:p>
    <w:p>
      <w:r>
        <w:t>Selon l'art. 64 al. 1 let. c LEI, les autorités compétentes rendent une décision de renvoi ordinaire à l'encontre d'un étranger auquel une autorisation est refusée, révoquée ou n'est pas prolongée après un séjour autorisé.</w:t>
      </w:r>
    </w:p>
    <w:p>
      <w:r>
        <w:rPr>
          <w:b/>
        </w:rPr>
        <w:t>E. 28</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29</w:t>
      </w:r>
    </w:p>
    <w:p>
      <w:r>
        <w:t>En l'espèce, dès lors qu'elle a refusé de délivrer une autorisation de séjour pour regroupement familial au fils du recourant, l'autorité intimée devait en soi ordonner le renvoi de Suisse de ce dernier en application de l'art. 64 al. 1 let. c LEI, aucun élément ne laissant pour le surplus supposer que l'exécution de cette mesure ne serait pas possible, pas licite ou qu'elle ne pourrait être raisonnablement exigée (art. 83 LEI).</w:t>
      </w:r>
    </w:p>
    <w:p>
      <w:r>
        <w:rPr>
          <w:b/>
        </w:rPr>
        <w:t>E. 30</w:t>
      </w:r>
    </w:p>
    <w:p>
      <w:r>
        <w:t>Au vu de ce qui précède, en tous points mal-fondé, le recours sera rejeté et la décision contestée confirmée.</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- 16/16 - A/788/2024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