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JTAPI/732/2024 vom 12. März 2019</w:t>
      </w:r>
    </w:p>
    <w:p>
      <w:r>
        <w:t>GE Cour de justice, 2019-03-12, FR</w:t>
      </w:r>
    </w:p>
    <w:p>
      <w:r>
        <w:rPr>
          <w:b/>
        </w:rPr>
        <w:t xml:space="preserve">Quelle: </w:t>
      </w:r>
      <w:r>
        <w:t>https://mcp.opencaselaw.ch/entscheid/ge_gerichte_JTAPI_732_2024</w:t>
      </w:r>
    </w:p>
    <w:p>
      <w:r>
        <w:t>FR: GE_GERICHTE JTAPI/732/2024 du 12 mars 2019</w:t>
      </w:r>
    </w:p>
    <w:p>
      <w:r>
        <w:t>IT: GE_GERICHTE JTAPI/732/2024 del 12 marzo 2019</w:t>
      </w:r>
    </w:p>
    <w:p>
      <w:pPr>
        <w:pStyle w:val="Heading2"/>
      </w:pPr>
      <w:r>
        <w:t>Erwägungen</w:t>
      </w:r>
    </w:p>
    <w:p>
      <w:r>
        <w:rPr>
          <w:b/>
        </w:rPr>
        <w:t>E. 10</w:t>
      </w:r>
    </w:p>
    <w:p>
      <w:r>
        <w:t>décembre 2013 consid. 4.1 et les références citées). Ainsi, il ne pouvait ignorer, au vu de son statut illicite en Suisse, qu'il pourrait à tout moment être amené à devoir renoncer, en cas de refus de la régularisation de ses conditions de séjour, à tout ce qu’il avait mis en place en Suisse, y compris à son activité professionnelle indépendante. Pour le surplus, les difficultés d'ordre général qu'il pourrait rencontrer au Kosovo,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16. Partant, ni l'âge du recourant, ni la durée de son séjour sur le territoire, ni son comportement,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17. Il ressort de ce qui précède que l'OCPM n'a violé ni le droit conventionnel, ni le droit fédéral, ni encore excédé ou abusé de son pouvoir d'appréciation (art. 96 LEI) en refusant de délivrer l'autorisation de séjour sollicitée. 18. Selon l'art. 64 al. 1 let. c LEI, les autorités compétentes rendent une décision de renvoi ordinaire à l'encontre d'un étranger auquel une autorisation est refusée ou</w:t>
      </w:r>
    </w:p>
    <w:p>
      <w:r>
        <w:t>- 13/14 - A/528/2024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 19. En l’espèce,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 20. Infondé, le recours sera rejeté et la décision contestée confirmée. 21.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22. Vu l’issue du litige, aucune indemnité de procédure ne sera allouée (art. 87 al. 2 LPA). 23. En vertu des art. 89 al. 2 et 111 al. 2 de la loi sur le Tribunal fédéral du 17 juin 2005 (LTF - RS 173.110), le présent jugement sera communiqué au SEM.</w:t>
      </w:r>
    </w:p>
    <w:p>
      <w:r>
        <w:t>- 14/14 - A/528/2024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