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JTAPI/730/2025 vom 30. Juni 2025</w:t>
      </w:r>
    </w:p>
    <w:p>
      <w:r>
        <w:t>GE Cour de justice, 2025-06-30, FR</w:t>
      </w:r>
    </w:p>
    <w:p>
      <w:r>
        <w:rPr>
          <w:b/>
        </w:rPr>
        <w:t xml:space="preserve">Quelle: </w:t>
      </w:r>
      <w:r>
        <w:t>https://mcp.opencaselaw.ch/entscheid/ge_gerichte_JTAPI_730_2025</w:t>
      </w:r>
    </w:p>
    <w:p>
      <w:r>
        <w:t>FR: GE_GERICHTE JTAPI/730/2025 du 30 juin 2025</w:t>
      </w:r>
    </w:p>
    <w:p>
      <w:r>
        <w:t>IT: GE_GERICHTE JTAPI/730/2025 del 30 giugno 2025</w:t>
      </w:r>
    </w:p>
    <w:p>
      <w:pPr>
        <w:pStyle w:val="Heading2"/>
      </w:pPr>
      <w:r>
        <w:t>Erwägungen</w:t>
      </w:r>
    </w:p>
    <w:p>
      <w:r>
        <w:rPr>
          <w:b/>
        </w:rPr>
        <w:t>E. 28</w:t>
      </w:r>
    </w:p>
    <w:p>
      <w:r>
        <w:t>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ATA/1265/ 2024 du 29 octobre 2024 consid. 5.3).</w:t>
      </w:r>
    </w:p>
    <w:p>
      <w:r>
        <w:rPr>
          <w:b/>
        </w:rPr>
        <w:t>E. 29</w:t>
      </w:r>
    </w:p>
    <w:p>
      <w:r>
        <w:t>Lorsque les preuves font défaut ou s’il ne peut être raisonnablement exigé de l’autorité qu’elle les recueille pour les faits constitutifs d’un droit, le fardeau de la</w:t>
      </w:r>
    </w:p>
    <w:p>
      <w:r>
        <w:t>- 20/22 - A/3851/2024 preuve incombe à celui qui entend se prévaloir de ce droit (ATF 140 I 285 consid. 6.3.1 ; arrêt du Tribunal fédéral 1C_280/2022 du 15 mars 2024 consid. 3.2). Il appartient ainsi à l’administré d’établir les faits qui sont de nature à lui procurer un avantage et à l’administration de démontrer l’existence de ceux qui imposent une obligation en sa faveur (ATA/139/2025 du 4 février 2025 consid. 7.6 et les références citées).</w:t>
      </w:r>
    </w:p>
    <w:p>
      <w:r>
        <w:rPr>
          <w:b/>
        </w:rPr>
        <w:t>E. 30</w:t>
      </w:r>
    </w:p>
    <w:p>
      <w:r>
        <w:t>En l’espèce, il ne ressort pas des éléments au dossier que la recourante pourrait se prévaloir de circonstances particulières au sens de l’art. 9 al. 5 LDTR, étant rappelé que, conformément à la jurisprudence citée supra, elle supporte le fardeau de la preuve. Pour le surplus, même dans l’hypothèse, non réalisée in casu, où la présence de circonstances particulières au sens de la disposition légale précitée aurait été prouvée, il sera rappelé que l’art. 9 al. 5 LDTR offre la possibilité au département de dépasser la fourchette des loyers LDTR dans le cadre du pouvoir d’appréciation qui est le sien. Partant, la recourante ne peut, en tout état, se prévaloir d’un droit à un dépassement de la fourchette des loyers sur cette base. À toutes fins utiles, il sera encore relevé que les conditions d’un dépassement dudit plafond sur la base des hypothèses prévues aux al. 4 et 6 de l’art. 9 LDTR ne sont pas remplies dans le présent cas. Dans ces conditions, le département n’a pas abusé de son pouvoir d’appréciation en ne retenant pas l’existence de circonstances particulières permettant l’application des exceptions de l’art. 9 al. 4 à 6 LDTR. Mal fondé, ce grief sera aussi écarté.</w:t>
      </w:r>
    </w:p>
    <w:p>
      <w:r>
        <w:rPr>
          <w:b/>
        </w:rPr>
        <w:t>E. 31</w:t>
      </w:r>
    </w:p>
    <w:p>
      <w:r>
        <w:t>Dans un dernier grief, la recourante se prévaut d’une atteinte à son droit à la propriété ainsi qu’à sa liberté économique, dans la mesure où le loyer fixé par le département ne lui permettrait pas de couvrir le montant des factures liées à son immeuble. La primauté du droit fédéral aurait également été violée dans ce contexte.</w:t>
      </w:r>
    </w:p>
    <w:p>
      <w:r>
        <w:rPr>
          <w:b/>
        </w:rPr>
        <w:t>E. 32</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 ; ATF 141 I 20 consid. 6.2.1).</w:t>
      </w:r>
    </w:p>
    <w:p>
      <w:r>
        <w:rPr>
          <w:b/>
        </w:rPr>
        <w:t>E. 33</w:t>
      </w:r>
    </w:p>
    <w:p>
      <w:r>
        <w:t>Le Tribunal fédéral a déjà jugé que la LDTR, y compris dans la mesure où elle prévoit un contrôle des loyers après transformations, était conforme à la garantie de la propriété et à la liberté économique (ATF 116 Ia 401 consid. 9c ; 111 Ia 401</w:t>
      </w:r>
    </w:p>
    <w:p>
      <w:r>
        <w:t>- 21/22 - A/3851/2024 consid. 9 ; arrêts 1C_195/2021 du 28 octobre 2021 consid. 5.1.3 ; 1C_7______ du ______ 2018 consid. 4.1.2 et 4.2 ; ATA/495/2025 du 6 mai 2025 consid. 4.2).</w:t>
      </w:r>
    </w:p>
    <w:p>
      <w:r>
        <w:rPr>
          <w:b/>
        </w:rPr>
        <w:t>E. 34</w:t>
      </w:r>
    </w:p>
    <w:p>
      <w:r>
        <w:t>En l’espèce, il ressort des jurisprudences précitées que l’atteinte à la garantie de la propriété et à la liberté économique de la recourante se fonde sur une base légale suffisante et répond à un intérêt public prépondérant. Elle s’avère également proportionnée, dans la mesure où le département a effectué une pesée des intérêts en présence et évalué l’importance des motifs fondant les mesures prononcées, à savoir la préservation du parc locatif genevois, au regard des intérêts, de la recourante, qui sont essentiellement économiques. Les intérêts publics défendus par la LDTR doivent ainsi l’emporter sur les intérêts privés, purement économiques, de cette dernière à pouvoir louer son appartement avec le rendement qu’elle souhaite. L’atteinte aux droits constitutionnels de la recourante n’apparait également pas disproportionnée dans la mesure où le département a fixé le loyer à la limite maximale de la fourchette prévue par la loi. La durée du contrôle, de trois ans, n’est enfin pas contestée en soi et ne saurait, en tout état, être qualifiée de restriction grave, selon la jurisprudence du Tribunal fédéral. Enfin, l’argument de la recourante selon lequel l’arrêt 1C_7______ du ______ 2018 serait « dépassé » par une jurisprudence civile plus récente, en l’occurrence l’arrêt 4A_8______ rendu par la Cour de droit civil du Tribunal fédéral, ne saurait emporter conviction, étant rappelé que le présent recours porte sur une question de droit public administratif, dont l’application est de la compétence du tribunal, et non de droit civil. Partant, infondés, les griefs de la recourante sont écartés.</w:t>
      </w:r>
    </w:p>
    <w:p>
      <w:r>
        <w:rPr>
          <w:b/>
        </w:rPr>
        <w:t>E. 35</w:t>
      </w:r>
    </w:p>
    <w:p>
      <w:r>
        <w:t>En conclusion, eu égard aux développements qui précèdent, entièrement mal fondé, le recours sera rejeté.</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- 22/22 - A/3851/2024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