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JTAPI/727/2024 vom 23. Juli 2024</w:t>
      </w:r>
    </w:p>
    <w:p>
      <w:r>
        <w:t>GE Cour de justice, 2024-07-23, FR</w:t>
      </w:r>
    </w:p>
    <w:p>
      <w:r>
        <w:rPr>
          <w:b/>
        </w:rPr>
        <w:t xml:space="preserve">Quelle: </w:t>
      </w:r>
      <w:r>
        <w:t>https://mcp.opencaselaw.ch/entscheid/ge_gerichte_JTAPI_727_2024</w:t>
      </w:r>
    </w:p>
    <w:p>
      <w:r>
        <w:t>FR: GE_GERICHTE JTAPI/727/2024 du 23 juillet 2024</w:t>
      </w:r>
    </w:p>
    <w:p>
      <w:r>
        <w:t>IT: GE_GERICHTE JTAPI/727/2024 del 23 luglio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15 juillet 2024, le tribunal a été valablement saisi, dans le délai légal précité, d'une requête de l'OCPM tendant à la prolongation de la détention administrative de M. A______ pour une durée de quatre mois.</w:t>
      </w:r>
    </w:p>
    <w:p>
      <w:r>
        <w:t>- 5/9 - A/2398/2024</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L'art. 76 al. 1 let. b ch. 1, LEI, renvoyant à l'art 75 al. 1 let. c, g et h de cette même loi, dispose qu'une mesure de détention administrative peut être ordonnée si une décision de première instance de renvoi ou d'expulsion a été notifiée à l'intéressé et que celui-ci franchit la frontière malgré une interdiction d'entrée en Suisse et ne peut pas être renvoyé immédiatement (let. c), ou qu'il menace sérieusement d’autres personnes ou met gravement en danger leur vie ou leur intégrité corporelle et que, pour ce motif, il fait l’objet d’une poursuite pénale ou a été condamné (let. g), ou qu'il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7</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8</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9</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w:t>
      </w:r>
    </w:p>
    <w:p>
      <w:r>
        <w:t>- 6/9 - A/2398/2024 23 mai 2016 consid. 4.1 ; 2C_105/2016 du 8 mars 2016 consid. 5.2 ; 2C_951/2015 du 17 novembre 2015 consid. 2.2 ; 2C_658/2014 du 7 août 2014 consid. 1.2).</w:t>
      </w:r>
    </w:p>
    <w:p>
      <w:r>
        <w:rPr>
          <w:b/>
        </w:rPr>
        <w:t>E. 10</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12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13</w:t>
      </w:r>
    </w:p>
    <w:p>
      <w:r>
        <w:t>En l'espèce, M. A______ fait l'objet d'une mesure d'expulsion judiciaire ordonnée par le Tribunal de police le 25 janvier 2019 pour une durée de dix ans, mesure qu'il n'a pas respectée en revenant sans droit en Suisse, après avoir été expulsé le 9 mars 2020. Il est dépourvu de document d'identité et n'a entrepris aucune démarche pour en obtenir. Il ne collabore enfin aucunement à son identification, ce qui oblige les autorités à le présenter à différentes délégations étrangères. Il s’oppose à son renvoi en Sierra Leone et n’a aucune source de revenu ni aucune attache à Genève. Dès lors, il existe un risque réel et concret que, s'il était libéré à présent, il</w:t>
      </w:r>
    </w:p>
    <w:p>
      <w:r>
        <w:t>- 7/9 - A/2398/2024 n'obtempérerait pas aux instructions de l'autorité lorsque celle-ci lui ordonnera de monter à bord de l'avion devant le reconduire dans son pays et qu'il pourra être amené à disparaître dans la clandestinité, situation visée par le motif de détention prévu par l'art. 76 al. 1 let. b ch. 3 et 4 LEI (cf. ATF 140 II 1 consid. 5.3 ; arrêts du Tribunal fédéral 2C_381/2016 du 23 mai 2016 consid. 4.1 ; 2C_105/2016 du 8 mars 2016 consid. 5.2 ; 2C_951/2015 du 17 novembre 2015 consid. 2.2 ; 2C_658/2014 du 7 août 2014 consid. 1.2). Aucune mesure de substitution ne saurait palier le risque de fuite. Dépourvu de ressources financières, sans travail, ni logement ni aucun lien avec la Suisse, le risque que l’intéressé disparaisse dans la clandestinité est élevé. En particulier, une assignation dans un centre d’hébergement, avec obligation de se présenter à un poste de police n’est pas propre à pallier le risque de fuite mais uniquement de constater celle-ci, cas échéant.</w:t>
      </w:r>
    </w:p>
    <w:p>
      <w:r>
        <w:rPr>
          <w:b/>
        </w:rPr>
        <w:t>E. 14</w:t>
      </w:r>
    </w:p>
    <w:p>
      <w:r>
        <w:t>Sa détention se justifie dès lors en application des art. 75 al. 1 let. c en lien avec l'art. 76 al. 1 let. b ch 1 LEI et 76 al. 1 let. b ch. 3 et 4 LEI sans qu'il soit nécessaire d'examiner si d’autres conditions sont également réunies.</w:t>
      </w:r>
    </w:p>
    <w:p>
      <w:r>
        <w:rPr>
          <w:b/>
        </w:rPr>
        <w:t>E. 15</w:t>
      </w:r>
    </w:p>
    <w:p>
      <w:r>
        <w:t>L'assurance de son départ de Suisse répond par ailleurs à un intérêt public certain et toute autre mesure moins incisive que la détention administrative serait vaine pour assurer sa présence lorsqu’il devra monter dans l'avion devant le reconduire dans son pays d'origine, étant notamment observé qu'à teneur du dossier, il ne dispose pas de moyens de subsistance et n'a ni lieu de séjour ni attache en Suisse. Enfin, il ne saurait être remis sans autre en liberté pour quitter la Suisse en choisissant lui-même son lieu de destination, comme il l’a indiqué. Chargée de procéder à l'exécution de son refoulement par l'OCPM, la police devra pouvoir s'assurer de l'effectivité de celui-ci (cf. not. art. 15f OERE).</w:t>
      </w:r>
    </w:p>
    <w:p>
      <w:r>
        <w:rPr>
          <w:b/>
        </w:rPr>
        <w:t>E. 16</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17</w:t>
      </w:r>
    </w:p>
    <w:p>
      <w:r>
        <w:t>In casu, la nationalité de M. A______ n’a pas encore pu être déterminée, les autorités suisses se trouvant toujours dans l’attente d’une réponse des autorités de Sierra Leone après que ce dernier ait été présenté aux auditions centralisées du 17 juin 2024. Il sera relevé à ce sujet que s'il collaborait à l'établissement de sa nationalité, il est fort probable que son pays d'origine le reconnaitrait comme l'un de ses ressortissants et que sa détention prenne fin rapidement.</w:t>
      </w:r>
    </w:p>
    <w:p>
      <w:r>
        <w:rPr>
          <w:b/>
        </w:rPr>
        <w:t>E. 18</w:t>
      </w:r>
    </w:p>
    <w:p>
      <w:r>
        <w:t>Les autorités ont entrepris toutes les démarches utiles en vue de l'identification de l'intéressé de sorte que le principe de célérité est respecté.</w:t>
      </w:r>
    </w:p>
    <w:p>
      <w:r>
        <w:rPr>
          <w:b/>
        </w:rPr>
        <w:t>E. 19</w:t>
      </w:r>
    </w:p>
    <w:p>
      <w:r>
        <w:t>Selon l'art. 79 al. 1 LEI, la détention en vue du renvoi ne peut excéder six mois au total. Cette durée maximale peut néanmoins, avec l'accord de l'autorité judiciaire cantonale, être prolongée de douze mois au plus, lorsque la personne concernée ne</w:t>
      </w:r>
    </w:p>
    <w:p>
      <w:r>
        <w:t>- 8/9 - A/2398/2024 coopère pas avec l'autorité compétente (art. 79 al. 2 let. a LEI) ou lorsque l'obtention des documents nécessaires au départ auprès d'un Etat qui ne fait pas partie des États Schengen prend du retard (art. 79 al. 2 let. b LEI).</w:t>
      </w:r>
    </w:p>
    <w:p>
      <w:r>
        <w:rPr>
          <w:b/>
        </w:rPr>
        <w:t>E. 20</w:t>
      </w:r>
    </w:p>
    <w:p>
      <w:r>
        <w:t>En outre, la durée de la détention administrative respecte pleinement le principe de la proportionnalité (ATF 125 I 474 consid. 3 et les arrêts cités ; arrêt du Tribunal fédéral 1P.269/2001 du 7 juin 2001 consid. 2c ; ATA/752/2012 du 1er novembre 2012 consid. 7).</w:t>
      </w:r>
    </w:p>
    <w:p>
      <w:r>
        <w:rPr>
          <w:b/>
        </w:rPr>
        <w:t>E. 21</w:t>
      </w:r>
    </w:p>
    <w:p>
      <w:r>
        <w:t>Au vu de ce qui précède, la demande de prolongation de la détention administrative de M. A______ sera admise pour une durée de quatre mois, soit jusqu'au 28 novembre 2024, inclus.</w:t>
      </w:r>
    </w:p>
    <w:p>
      <w:r>
        <w:rPr>
          <w:b/>
        </w:rPr>
        <w:t>E. 22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A/2398/2024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