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JTAPI/723/2025 vom 3. März 2021</w:t>
      </w:r>
    </w:p>
    <w:p>
      <w:r>
        <w:t>GE Cour de justice, 2021-03-03, FR</w:t>
      </w:r>
    </w:p>
    <w:p>
      <w:r>
        <w:rPr>
          <w:b/>
        </w:rPr>
        <w:t xml:space="preserve">Quelle: </w:t>
      </w:r>
      <w:r>
        <w:t>https://mcp.opencaselaw.ch/entscheid/ge_gerichte_JTAPI_723_2025</w:t>
      </w:r>
    </w:p>
    <w:p>
      <w:r>
        <w:t>FR: GE_GERICHTE JTAPI/723/2025 du 3 mars 2021</w:t>
      </w:r>
    </w:p>
    <w:p>
      <w:r>
        <w:t>IT: GE_GERICHTE JTAPI/723/2025 del 3 marzo 2021</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64 de la loi sur la procédure administrative du 12 septembre 1985 (LPA - E 5 10).</w:t>
      </w:r>
    </w:p>
    <w:p>
      <w:r>
        <w:rPr>
          <w:b/>
        </w:rPr>
        <w:t>E. 2.2</w:t>
      </w:r>
    </w:p>
    <w:p>
      <w:r>
        <w:t>; 1C_170/2011 du 18 août 2011 consid. 3.2 et les réf.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w:t>
      </w:r>
    </w:p>
    <w:p>
      <w:r>
        <w:rPr>
          <w:b/>
        </w:rPr>
        <w:t>E. 3</w:t>
      </w:r>
    </w:p>
    <w:p>
      <w:r>
        <w:t>L'OCPM émet de doutes sur la recevabilité du recours, dès lors que le recourant ne conteste pas formellement le refus de prolongation de son autorisation de séjour.</w:t>
      </w:r>
    </w:p>
    <w:p>
      <w:r>
        <w:rPr>
          <w:b/>
        </w:rPr>
        <w:t>E. 4</w:t>
      </w:r>
    </w:p>
    <w:p>
      <w:r>
        <w:t>L’art. 65 al. 1 LPA prévoit que l’acte de recours contient, sous peine d’irrecevabilité, la désignation de la décision attaquée et les conclusions du recourant.</w:t>
      </w:r>
    </w:p>
    <w:p>
      <w:r>
        <w:t>Par ailleurs, l’art. 65 al. 2 LPA indique que l’acte de recours doit également contenir l’exposé des motifs ainsi que l’indication des moyens de preuve. Les pièces dont dispose le recourant doivent être jointes. À défaut, la juridiction saisie impartit un bref délai au recourant pour satisfaire à ces exigences, sous peine d’irrecevabilité.</w:t>
      </w:r>
    </w:p>
    <w:p>
      <w:r>
        <w:t>- 5/12 - A/477/2025</w:t>
      </w:r>
    </w:p>
    <w:p>
      <w:r>
        <w:t>Enfin, à teneur de l’al. 4 de cette disposition légale, sur demande motivée du recourant dont le recours répond aux exigences des al. 1 à 3, la juridiction saisie peut autoriser ce dernier à compléter son recours et lui impartir à cet effet un délai supplémentaire convenable.</w:t>
      </w:r>
    </w:p>
    <w:p>
      <w:r>
        <w:rPr>
          <w:b/>
        </w:rPr>
        <w:t>E. 5</w:t>
      </w:r>
    </w:p>
    <w:p>
      <w:r>
        <w:t>L'exigence de la motivation au sens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(ATA/464/2025 du 29 avril 2025 consid. 2.1).</w:t>
      </w:r>
    </w:p>
    <w:p>
      <w:r>
        <w:t>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(ATA/596/2011 du 20 septembre 2011 consid. 5 ; ATA/32/2010 du 19 janvier 2010 et les références citées). Il serait contraire au texte même de la loi de renoncer à ces exigences minimales (ATA/239/2013 du 16 avril 2013 ; ATA/173/2004 du 2 mars 2004).</w:t>
      </w:r>
    </w:p>
    <w:p>
      <w:r>
        <w:t>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 ATA/892/2021 du 31 août 2021 consid. 2c et l'arrêt cité).</w:t>
      </w:r>
    </w:p>
    <w:p>
      <w:r>
        <w:t>Il n’y a pas d’exigences élevées s’agissant de la motivation du recours surtout si le recourant n’est pas assisté par un avocat : il suffit qu’on puisse déduire du recours dans quelle mesure et pour quelles raisons la décision est attaquée (ATA/1070/2024 du 10 septembre 2024 consid. 3 ; Benoît BOVAY, Procédure administrative, 2e éd., 2015, p. 544).</w:t>
      </w:r>
    </w:p>
    <w:p>
      <w:r>
        <w:t>Il serait contraire au texte même de la loi de renoncer à ces exigences minimales (ATA/892/2021 du 31 août 2021 consid. 2c et les arrêts cités).</w:t>
      </w:r>
    </w:p>
    <w:p>
      <w:r>
        <w:rPr>
          <w:b/>
        </w:rPr>
        <w:t>E. 6</w:t>
      </w:r>
    </w:p>
    <w:p>
      <w:r>
        <w:t>Le formalisme excessif, prohibé par l'art. 29 al. 1 de la Constitution fédérale de la Confédération suisse du 18 avril 1999 (Cst. - RS 101), est réalisé lorsque la stricte</w:t>
      </w:r>
    </w:p>
    <w:p>
      <w:r>
        <w:t>- 6/12 - A/477/2025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7</w:t>
      </w:r>
    </w:p>
    <w:p>
      <w:r>
        <w:t>En l'espèce, dans son acte de recours, le recourant, agissant en personne, conclut à ce que le tribunal « accepte son recours et fixe la date du renvoi en octobre 2025 », subsidiairement au renvoi de la cause à l'OCPM pour nouvelle décision. En outre, il ressort de son argumentation qu'il sollicite « une ultime prolongation » jusqu'à octobre 2025.</w:t>
      </w:r>
    </w:p>
    <w:p>
      <w:r>
        <w:t>Ainsi, quand bien même il n'a pas formellement conclu à l'annulation de la décision et à la prolongation de son autorisation de séjour, il ressort de sa motivation qu’il vise, par le biais de son recours, l'octroi d'une nouvelle prolongation de son autorisation de séjour jusqu'à octobre 2025. Ce faisant, il conteste, à tout le moine implicitement, la décision querellée lui refusant la prolongation de son autorisation de séjour, de sorte qu'il dispose à l'évidence d'un intérêt digne de protection.</w:t>
      </w:r>
    </w:p>
    <w:p>
      <w:r>
        <w:t>Le recours est donc également recevable de ce point de vue.</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9</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10</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w:t>
      </w:r>
    </w:p>
    <w:p>
      <w:r>
        <w:t>- 7/12 - A/477/2025 spécialement lorsqu'il s'agit d'élucider des faits qu'elles sont le mieux à même de connaître (ATF 140 I 285 consid. 6.3.1 ; arrêts du Tribunal fédéral 2C_728/2020 du 25 février 2021 consid. 4.1 ; 2C_1156/2018 du 12 juillet 2019 consid. 3.3).</w:t>
      </w:r>
    </w:p>
    <w:p>
      <w:r>
        <w:rPr>
          <w:b/>
        </w:rPr>
        <w:t>E. 11</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12</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13</w:t>
      </w:r>
    </w:p>
    <w:p>
      <w:r>
        <w:t>À titre préalable, le recourant sollicite son audition.</w:t>
      </w:r>
    </w:p>
    <w:p>
      <w:r>
        <w:rPr>
          <w:b/>
        </w:rPr>
        <w:t>E. 14</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 arrêts du Tribunal fédéral 2C_725/2019 du 12 septembre 2019 consid. 4.1 ; 2C_1125/2018 du 7 janvier 2019 consid. 5.1).</w:t>
      </w:r>
    </w:p>
    <w:p>
      <w:r>
        <w:t>Toutefois, ce droit ne confère pas le droit d’être entendu oralement, ni celui d’obtenir l’audition de témoins (ATF 140 I 68 consid. 9.6.1 ; arrêt du Tribunal</w:t>
      </w:r>
    </w:p>
    <w:p>
      <w:r>
        <w:t>- 8/12 - A/477/2025 fédéral 8C_381/2021 du 17 décembre 2021 consid. 3.2 ; cf. aussi art. 41 in fine LPA).</w:t>
      </w:r>
    </w:p>
    <w:p>
      <w:r>
        <w:rPr>
          <w:b/>
        </w:rPr>
        <w:t>E. 15</w:t>
      </w:r>
    </w:p>
    <w:p>
      <w:r>
        <w:t>En l’espèce, le recourant a eu l’occasion de s’exprimer par écrit durant la présente procédure, d’exposer son point de vue et de produire toutes les pièces qu’il estimait utiles à l’appui de ses allégués. L’autorité intimée a répondu à son recours, se prononçant sur les griefs qu’elle estimait pertinents pour l’issue du litige et l’intéressé s'est vu octroyer la possibilité de répliquer, qu'il n'a pas saisie. Le dossier comporte en outre tous les éléments pertinents et nécessaires à l’examen des griefs et arguments mis en avant par les parties, permettant ainsi au tribunal de se forger une opinion et de trancher le litige. De ce fait, il apparait peu vraisemblable que l’audition demandée apporterait des éléments nouveaux et pourrait amener le tribunal de céans à modifier son opinion. Par conséquent, la demande d'instruction tendant à la comparution personnelle du recourant, en soi non obligatoire, sera rejetée.</w:t>
      </w:r>
    </w:p>
    <w:p>
      <w:r>
        <w:rPr>
          <w:b/>
        </w:rPr>
        <w:t>E. 16</w:t>
      </w:r>
    </w:p>
    <w:p>
      <w:r>
        <w:t>Le recourant s’oppose au refus de renouvellement de son autorisation de séjour obtenue dans le cadre de l'opération « Papyrus » et régulièrement renouvelée, sous conditions, déclarant souhaiter une ultime prolongation jusqu'à octobre 2025 afin de préparer son retour dans son pays d'origine et compte tenu de son état de santé.</w:t>
      </w:r>
    </w:p>
    <w:p>
      <w:r>
        <w:rPr>
          <w:b/>
        </w:rPr>
        <w:t>E. 17</w:t>
      </w:r>
    </w:p>
    <w:p>
      <w:r>
        <w:t>La présente cause est régie par la loi fédérale sur les étrangers et l'intégration du 16 décembre 2005 (LEI - RS 142.20) et ses dispositions d’exécution, en particulier l’ordonnance relative à l’admission, au séjour et à l’exercice d’une activité lucrative du 24 octobre 2007 (OASA - RS 142.201), puisque le statut juridique du recourant n’est pas réglé par d’autres dispositions du droit fédéral ou par des traités internationaux conclus par la Suisse (art. 1 et 2 LEI).</w:t>
      </w:r>
    </w:p>
    <w:p>
      <w:r>
        <w:rPr>
          <w:b/>
        </w:rPr>
        <w:t>E. 18</w:t>
      </w:r>
    </w:p>
    <w:p>
      <w:r>
        <w:t>Aux termes de l'art. 33 al. 1 LEI, l'autorisation de séjour est octroyée pour un séjour de plus d'une année. Sa durée de validité est limitée, mais peut être prolongée s’il n’existe aucun motif de révocation au sens de l’art. 62 al. 1 LEI (art. 33 al. 3 LEI). Pour fixer la durée de validité de l’autorisation de séjour et de sa prolongation, les autorités tiennent compte de l’intégration de l’étranger (art. 33 al. 4 LEI).</w:t>
      </w:r>
    </w:p>
    <w:p>
      <w:r>
        <w:rPr>
          <w:b/>
        </w:rPr>
        <w:t>E. 19</w:t>
      </w:r>
    </w:p>
    <w:p>
      <w:r>
        <w:t>Selon l'art. 58a al. 1 let. c LEI, pour évaluer l’intégration, l’autorité compétente tient compte des compétences linguistiques.</w:t>
      </w:r>
    </w:p>
    <w:p>
      <w:r>
        <w:rPr>
          <w:b/>
        </w:rPr>
        <w:t>E. 20</w:t>
      </w:r>
    </w:p>
    <w:p>
      <w:r>
        <w:t>Selon l'art. 77d al. 1 OASA, les connaissances d’une langue nationale sont réputées attestées lorsque l’étranger: a. a cette langue nationale pour langue maternelle, à l’oral et à l’écrit ; b. a fréquenté l’école obligatoire dans cette langue nationale pendant au minimum trois ans ; c. a participé à une formation du degré secondaire II ou du degré tertiaire dispensée dans la langue nationale parlée au lieu de domicile, ou ; d. dispose d’une attestation des compétences linguistiques confirmant qu’il possède les compétences requises dans cette langue nationale et reposant sur</w:t>
      </w:r>
    </w:p>
    <w:p>
      <w:r>
        <w:t>- 9/12 - A/477/2025 une procédure d’attestation conforme aux normes de qualité généralement reconnues en matière de tests linguistiques.</w:t>
      </w:r>
    </w:p>
    <w:p>
      <w:r>
        <w:rPr>
          <w:b/>
        </w:rPr>
        <w:t>E. 21</w:t>
      </w:r>
    </w:p>
    <w:p>
      <w:r>
        <w:t>L’art. 62 al. 1 let. d LEI prévoit que l’autorité compétente peut révoquer une autorisation, à l’exception de l’autorisation d’établissement, ou une autre décision fondée sur la présente loi, lorsque l’étranger ne respecte pas les conditions dont la décision est assortie.</w:t>
      </w:r>
    </w:p>
    <w:p>
      <w:r>
        <w:rPr>
          <w:b/>
        </w:rPr>
        <w:t>E. 22</w:t>
      </w:r>
    </w:p>
    <w:p>
      <w:r>
        <w:t>Le SEM a la compétence d’approuver l’octroi et le renouvellement des autorisations de courte durée et de séjour, l’octroi de l’établissement ainsi que les décisions préalables des autorités cantonales du marché du travail (art. 85 al. 1 LEI). Il peut refuser son approbation, la limiter dans le temps ou l’assortir de conditions et de charges (art. 86 al. 1 LEI).</w:t>
      </w:r>
    </w:p>
    <w:p>
      <w:r>
        <w:rPr>
          <w:b/>
        </w:rPr>
        <w:t>E. 23</w:t>
      </w:r>
    </w:p>
    <w:p>
      <w:r>
        <w:t>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w:t>
      </w:r>
    </w:p>
    <w:p>
      <w:r>
        <w:rPr>
          <w:b/>
        </w:rPr>
        <w:t>E. 24</w:t>
      </w:r>
    </w:p>
    <w:p>
      <w:r>
        <w:t>En l'espèce, la décision d'approbation du SEM du 7 octobre 2022, conditionnait le renouvellement de l'autorisation de séjour du recourant à un suivi de cours de français en vue de l'obtention du niveau A2 à l'oral en français. Or, le recourant n'a jamais démontré avoir atteint ce niveau de connaissances, ce qu'il ne conteste au demeurant pas. Au contraire, par courriels du 2 novembre 2023 et du 16 octobre 2024, la société employant le recourant a expliqué à l'OCPM les raisons pour lesquelles ce dernier n'avait pas été en mesure de suivre des cours de français depuis 2022.</w:t>
      </w:r>
    </w:p>
    <w:p>
      <w:r>
        <w:t>Dans cette mesure, il est manifeste que le recourant n'a pas respecté la condition posée par le SEM au renouvellement de son autorisation de séjour, de sorte qu'il remplit de manière évidente un motif de révocation (art. 62 al. 1 let. d LEI). C'est donc à juste titre que l'OCPM a refusé la prolongation de l'autorisation de séjour du recourant.</w:t>
      </w:r>
    </w:p>
    <w:p>
      <w:r>
        <w:rPr>
          <w:b/>
        </w:rPr>
        <w:t>E. 25</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Elles ne disposent à ce titre d’aucun pouvoir d’appréciation, le renvoi constituant la conséquence logique et inéluctable du rejet d’une demande d’autorisation (arrêt du Tribunal administratif fédéral C-5268/2008 du 1er juin 2011 consid. 10).</w:t>
      </w:r>
    </w:p>
    <w:p>
      <w:r>
        <w:rPr>
          <w:b/>
        </w:rPr>
        <w:t>E. 26</w:t>
      </w:r>
    </w:p>
    <w:p>
      <w:r>
        <w:t>En l’occurrence, dès lors qu’il a refusé de délivrer une autorisation de séjour au recourant, l’OCPM devait en soi ordonner son renvoi de Suisse en application de l’art. 64 al. 1 let. c LEI.</w:t>
      </w:r>
    </w:p>
    <w:p>
      <w:r>
        <w:t>- 10/12 - A/477/2025</w:t>
      </w:r>
    </w:p>
    <w:p>
      <w:r>
        <w:rPr>
          <w:b/>
        </w:rPr>
        <w:t>E. 27</w:t>
      </w:r>
    </w:p>
    <w:p>
      <w:r>
        <w:t>Reste toutefois à déterminer si l’exécution de cette mesure est conforme à l’art. 83 al. 4 LEI, plus particulièrement, sous l’angle de l’exigibilité.</w:t>
      </w:r>
    </w:p>
    <w:p>
      <w:r>
        <w:rPr>
          <w:b/>
        </w:rPr>
        <w:t>E. 28</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w:t>
      </w:r>
    </w:p>
    <w:p>
      <w:r>
        <w:rPr>
          <w:b/>
        </w:rPr>
        <w:t>E. 29</w:t>
      </w:r>
    </w:p>
    <w:p>
      <w:r>
        <w:t>L’exécution du renvoi n’est pas possible lorsque l’intéressé ne peut quitter la Suisse pour son État d’origine, son État de provenance ou un État tiers, ni être renvoyé dans l’un de ces États (art. 83 al. 2 LEI). Elle n’est pas licite lorsque le renvoi de l’étranger dans son État d’origine, dans son État de provenance ou dans un État tiers est contraire aux engagements de la Suisse relevant du droit international (art. 83 al. 3 LEI), ce qui est en particulier le cas lorsque l’étranger est exposé à un véritable risque concret et sérieux d’être victime, en cas de retour dans son pays, de traitements inhumains ou dégradants (art. 3 CEDH ; sur cette question, cf. ATAF 2011/24 consid. 10.4.1). L’exécution du renvoi n’est pas raisonnablement exigible si elle met concrètement la personne en danger, par exemple en cas de guerre, de guerre civile, de violence généralisée ou de nécessité médicale (art. 83 al. 4 LEI).</w:t>
      </w:r>
    </w:p>
    <w:p>
      <w:r>
        <w:t>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w:t>
      </w:r>
    </w:p>
    <w:p>
      <w:r>
        <w:rPr>
          <w:b/>
        </w:rPr>
        <w:t>E. 30</w:t>
      </w:r>
    </w:p>
    <w:p>
      <w:r>
        <w:t>L’art. 83 al. 4 LEI ne confère donc pas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prévalant en Suisse. Ainsi, si les soins essentiels nécessaires peuvent être assurés dans le pays d’origine</w:t>
      </w:r>
    </w:p>
    <w:p>
      <w:r>
        <w:t>- 11/12 - A/477/2025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rPr>
          <w:b/>
        </w:rPr>
        <w:t>E. 31</w:t>
      </w:r>
    </w:p>
    <w:p>
      <w:r>
        <w:t>En l’occurrence, rien au dossier ne permet de retenir que les problèmes médicaux du recourant présentent une gravité telle que l’exécution de son renvoi aux Philippines le mettrait de manière imminente, sérieusement et concrètement en danger, ce qu'il ne prétend au demeurant pas.</w:t>
      </w:r>
    </w:p>
    <w:p>
      <w:r>
        <w:t>Partant, il convient de retenir que l’exécution de son renvoi est raisonnablement exigible au sens de l’art. 83 LEI, de sorte que l’OCPM n’avait pas à proposer son admission provisoire au SEM.</w:t>
      </w:r>
    </w:p>
    <w:p>
      <w:r>
        <w:t>S’agissant du retour proprement dit du recourant aux Philippines, il appartiendra à l'OCPM de lui fixer une nouvelle date de départ, une fois le présent jugement entré en force, étant précisé que cette question relève des modalités du renvoi et n’est pas un acte juridique formateur (art. 4 LPA) susceptible de recours au sens de l’art. 57 LPA, mais une simple mesure d’exécution contre laquelle le recours n’est pas recevable (art. 59 let. b LPA).</w:t>
      </w:r>
    </w:p>
    <w:p>
      <w:r>
        <w:rPr>
          <w:b/>
        </w:rPr>
        <w:t>E. 32</w:t>
      </w:r>
    </w:p>
    <w:p>
      <w:r>
        <w:t>Mal fondé, le recours sera rejeté et la décision contestée confirmée.</w:t>
      </w:r>
    </w:p>
    <w:p>
      <w:r>
        <w:rPr>
          <w:b/>
        </w:rPr>
        <w:t>E. 33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SEM.</w:t>
      </w:r>
    </w:p>
    <w:p>
      <w:r>
        <w:t>- 12/12 - A/477/2025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