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JTAPI/722/2024 vom 22. Juli 2024</w:t>
      </w:r>
    </w:p>
    <w:p>
      <w:r>
        <w:t>GE Cour de justice, 2024-07-22, FR</w:t>
      </w:r>
    </w:p>
    <w:p>
      <w:r>
        <w:rPr>
          <w:b/>
        </w:rPr>
        <w:t xml:space="preserve">Quelle: </w:t>
      </w:r>
      <w:r>
        <w:t>https://mcp.opencaselaw.ch/entscheid/ge_gerichte_JTAPI_722_2024</w:t>
      </w:r>
    </w:p>
    <w:p>
      <w:r>
        <w:t>FR: GE_GERICHTE JTAPI/722/2024 du 22 juillet 2024</w:t>
      </w:r>
    </w:p>
    <w:p>
      <w:r>
        <w:t>IT: GE_GERICHTE JTAPI/722/2024 del 22 luglio 2024</w:t>
      </w:r>
    </w:p>
    <w:p>
      <w:pPr>
        <w:pStyle w:val="Heading2"/>
      </w:pPr>
      <w:r>
        <w:t>Erwägungen</w:t>
      </w:r>
    </w:p>
    <w:p>
      <w:r>
        <w:rPr>
          <w:b/>
        </w:rPr>
        <w:t>E. 1</w:t>
      </w:r>
    </w:p>
    <w:p>
      <w:r>
        <w:t>Le Tribunal administratif de première instance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18 juillet 2024 à 14h20.</w:t>
      </w:r>
    </w:p>
    <w:p>
      <w:r>
        <w:rPr>
          <w:b/>
        </w:rPr>
        <w:t>E. 3</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(cf. ATF 135 II 105 consid. 2.2.1) et de l'art. 31 de la</w:t>
      </w:r>
    </w:p>
    <w:p>
      <w:r>
        <w:t>- 6/11 - A/2453/2024 Constitution fédérale suisse du 18 avril 1999 (Cst. - RS 101), ce qui suppose en premier lieu qu'elle repose sur une base légale. Le respect de la légalité implique ainsi que la mise en détention administrative ne soit prononcée que si les motifs prévus dans la loi sont concrètement réalisés (ATF 140 II 1 consid. 5.1 ; arrêts du Tribunal fédéral 2C_105/2016 du 8 mars 2016 consid. 5.1 ; 2C_951/2015 du 17 novembre 2015 consid. 2.1).</w:t>
      </w:r>
    </w:p>
    <w:p>
      <w:r>
        <w:rPr>
          <w:b/>
        </w:rPr>
        <w:t>E. 4</w:t>
      </w:r>
    </w:p>
    <w:p>
      <w:r>
        <w:t>L'art. 76 al. 1 let. b ch. 1 LEI, renvoyant à l'art. 75 al. 1 lettre h LEI, permet d'ordonner la détention administrative d'un ressortissant étranger afin d'assurer l'exécution d'une décision de renvoi ou d'expulsion notifiée à celui-ci, lorsque la personne concernée a été condamnée pour crime, par quoi il faut entendre une infraction passible d’une peine privative de liberté de plus de 3 ans (art. 10 al. 2 CP ; cf. ATA/295/2011 du 12 mai 2011, consid. 4).</w:t>
      </w:r>
    </w:p>
    <w:p>
      <w:r>
        <w:rPr>
          <w:b/>
        </w:rPr>
        <w:t>E. 5</w:t>
      </w:r>
    </w:p>
    <w:p>
      <w:r>
        <w:t>La détention administrative est aussi possible si des éléments concrets font craindre que ladite personne entende se soustraire à son refoulement, en particulier parce qu'elle ne se soumet pas à son obligation de collaborer (art. 76 al. 1 let. b ch. 3 LEI) ou si son comportement permet de conclure qu'elle se refuse à obtempérer aux instructions des autorités (art. 76 al. 1 let. b ch. 4 LEI). Ces deux dispositions décrivent toutes deux des comportements permettant de conclure à l'existence d'un risque de fuite ou de disparition, de sorte que les deux éléments doivent être envisagés ensemble (cf. arrêts du Tribunal fédéral 2C_381/2016 du 23 mai 2016 consid. 4.1 ; 2C_128/2009 du 30 mars 2009 consid. 3.1). Selon la jurisprudence, un risque de fuite - c'est-à-dire la réalisation de l'un des deux motifs précités - existe notamment lorsque l'étranger a déjà disparu une première fois dans la clandestinité, qu'il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Comme le prévoit expressément l'art. 76 al. 1 let. b ch. 3 LEI, il faut qu'il existe des éléments concrets en ce sens (ATF 140 II 1 consid. 5.3 ; arrêts du Tribunal fédéral 2C_381/2016 du 23 mai 2016 consid. 4.1 ; 2C_105/2016 du 8 mars 2016 consid. 5.2 ; 2C_951/2015 du 17 novembre 2015 consid. 2.2 ; 2C_658/2014 du 7 août 2014 consid. 1.2). Lorsqu'il existe un risque de fuite, le juge de la détention administrative doit établir un pronostic en déterminant s'il existe des garanties que l'étranger prêtera son concours à l'exécution du refoulement, soit qu'il se conformera aux instructions de l'autorité et regagnera son pays d'origine le moment venu, c'est-à-dire lorsque les conditions seront réunies ; dans ce cadre, il dispose d'une certaine marge d'appréciation (arrêts du Tribunal fédéral 2C_935/2011 du 7 décembre 2011 consid. 3.3 ; 2C_806/2010 du 21 octobre 2010 consid. 2.1 ; 2C_400/2009 du 16 juillet 2009 consid. 3.1).</w:t>
      </w:r>
    </w:p>
    <w:p>
      <w:r>
        <w:t>- 7/11 - A/2453/2024</w:t>
      </w:r>
    </w:p>
    <w:p>
      <w:r>
        <w:rPr>
          <w:b/>
        </w:rPr>
        <w:t>E. 5.3</w:t>
      </w:r>
    </w:p>
    <w:p>
      <w:r>
        <w:t>; 2C_218/2013 du 26 mars 2013 consid. 5.1 ; 2C_624/2011 du 12 septembre 2011 consid. 2.1 ; 2C_974/2010 du 11 janvier 2011 consid. 3.1 et 2C_756/2009 du 15 décembre 2009 consid. 2.1)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 consid. 2.2 ; 2C_218/2013 du 26 mars 2013 consid. 5.1 et les références citées ; cf. aussi ATF 130 II 425 consid. 5.2).</w:t>
      </w:r>
    </w:p>
    <w:p>
      <w:r>
        <w:rPr>
          <w:b/>
        </w:rPr>
        <w:t>E. 6</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Il convient en particulier d'examiner, en fonction de l'ensemble des circonstances concrètes, si la détention en vue d'assurer l'exécution d'un renvoi ou d'une expulsion constitue une mesure appropriée et nécessaire (cf. art. 5 par. 1 let. f CEDH ; ATF 134 I 92 consid. 2.3 et 133 II 1 consid. 5.1 ; arrêts du Tribunal fédéral 2C_765/2015 du 18 septembre 2015 consid.</w:t>
      </w:r>
    </w:p>
    <w:p>
      <w:r>
        <w:rPr>
          <w:b/>
        </w:rPr>
        <w:t>E. 7</w:t>
      </w:r>
    </w:p>
    <w:p>
      <w:r>
        <w:t>En l'espèce, M. A______ fait l'objet d'une décision fédérale de renvoi prononcée par le SEM le 17 mai 2019 ainsi que d'une décision de levée de l'admission provisoire, laquelle a été confirmée par le SEM le 8 mai 2024 puis le TAF le 3 juillet 2024. Ces juridictions ont confirmé le caractère licite, possible et raisonnablement exigible du renvoi de l’intéressé en Tunisie. Il a en outre été condamné à de multiples reprises notamment pour vol, infraction constitutive d'un crime. Trois procédures pénales, ouvertes pour vol et contravention à la LStup, sont par ailleurs en cours le concernant, l’une suite notamment à son interpellation le 28 juin 2024 dans le canton de Vaud alors qu’il fumait de la cocaïne, déclarant à cette occasion consommer 0,5 g par jour de ce produit. Il n’a par ailleurs jamais collaboré à l'organisation de son départ de Suisse, répétant systématiquement son opposition à son renvoi, la dernière fois ce jour, en audience, avant de déclaré qu’il pourrait aujourd’hui envisager un retour en Tunisie puis d’indiquer que si un billet d’avion était réservé en sa faveur, il était prêt à retourner en Tunisie. Le 5 avril 2024, il a de plus quitté le foyer genevois qui l'hébergeait sans communiquer sa nouvelle adresse aux autorités, disparaissant ainsi dans la clandestinité durant plusieurs semaines, et il a fait l’objet de deux interpellations dans le canton de Vaud, en juin et juillet 2024, l’une notamment pour avoir fumé de la cocaïne dans la rue, produit qu’il consommerait à raison de 0,5g par jour, démontrant par son comportement, qu'il n’y avait aucune assurance qu’il resterait à disposition des autorités genevoises, s’il devait être remis en liberté. A cet égard, les explications fournies en audience n’emportent pas la conviction du tribunal. Si celles concernant sa visite à l’OCPM le 30 avril 2024 semblent crédibles, elles ne</w:t>
      </w:r>
    </w:p>
    <w:p>
      <w:r>
        <w:t>- 8/11 - A/2453/2024 permettent en revanche pas d’expliquer pour quelle raison, il n’est plus allé dormir à D______ après le 5 avril 2024. Ses explications à ce sujet sont contradictoires puisqu’après avoir évoqué la perte du document aide d’urgence lui permettant d’accéder au site, il indique que c’est en raison des violences de ses compagnons de chambre kurdes qu’il n’y est plus retourné. Il existe dès lors de nombreux éléments concrets qui font craindre que, s'il était laissé en liberté, M. A______ se soustrairait à son refoulement de Suisse, laquelle mesure ne pourrait pas être mise en œuvre par les services concernés, faute de pouvoir localiser l'intéressé en temps utile. Au vu de ce qui précède, les conditions de la mise en détention administrative de M. A______ s'avèrent réalisées. L'assurance de son départ de Suisse répond par ailleurs à un intérêt public certain et, pour les motifs déjà évoqués ci-dessus, toute autre mesure moins incisive que la détention administrative serait vaine pour assurer sa présence au moment où il devra monter dans l'avion devant le reconduire dans son pays d'origine, étant de surcroit observé qu'à teneur du dossier, il ne dispose pas de moyens de subsistance ni d’un lieu de résidence stable, expliquant qu’il lui arrive de dormir dans la rue. Le tribunal relèvera encore qu’il a déclaré, lors de son interpellation du 30 juin 2024, consommer quotidiennement de la cocaïne, avec les conséquences que l’on sait en termes de troubles ou menace pour l’ordre et la sécurité publics. L’attestation de son frère, versée ce jour à la procédure, lequel s’est engagé à lui fournir un logement et de la nourriture dans l’attente de son renvoi, ne permet pas de parvenir à une autre solution.</w:t>
      </w:r>
    </w:p>
    <w:p>
      <w:r>
        <w:rPr>
          <w:b/>
        </w:rPr>
        <w:t>E. 8</w:t>
      </w:r>
    </w:p>
    <w:p>
      <w:r>
        <w:t>Les démarches nécessaires à l'exécution du renvoi doivent être entreprises sans tarder par l'autorité compétente (art. 76 al. 4 LEI). Il s'agit, selon la jurisprudence du Tribunal fédéral, d'une condition à laquelle la détention est subordonnée (arrêt 2A.581/2006 du 18 octobre 2006).</w:t>
      </w:r>
    </w:p>
    <w:p>
      <w:r>
        <w:rPr>
          <w:b/>
        </w:rPr>
        <w:t>E. 9</w:t>
      </w:r>
    </w:p>
    <w:p>
      <w:r>
        <w:t>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w:t>
      </w:r>
    </w:p>
    <w:p>
      <w:r>
        <w:rPr>
          <w:b/>
        </w:rPr>
        <w:t>E. 10</w:t>
      </w:r>
    </w:p>
    <w:p>
      <w:r>
        <w:t>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11</w:t>
      </w:r>
    </w:p>
    <w:p>
      <w:r>
        <w:t>En l’espèce, l'autorité chargée du renvoi a agi avec diligence et célérité, dès lors qu'elle a débuté, dès l’interpellation de l’intéressé, les démarches utiles en vue de son refoulement, requérant un certificat d’aptitude au vol en sa faveur. Elle a pour le surplus expliqué qu’une réponse devrait leur parvenir rapidement, car l’intéressé avait accepté de lever les médecins de leur secret médical le 16 novembre 2023.</w:t>
      </w:r>
    </w:p>
    <w:p>
      <w:r>
        <w:t>- 9/11 - A/2453/2024 Ensuite, ils pourraient réserver une date de vol avec un délai d’une quinzaine de jours ouvrables, aux fins d’obtenir un laissez-passer et, au besoin, présenter M. A______ à un entretien préalable. S’agissant enfin de la durée de la détention décidée par le commissaire de police, elle respecte le cadre légal fixé par l'art. 79 al. 1 LEI. Néanmoins, au vu des indications données ce jour en audience par le commissaire de police, une détention de trois mois ne s'avère pas nécessaire, quand bien même il serait plus difficile de trouver des vols durant la période estivale. Cette durée sera dès lors réduite à deux mois, durée qui permettra au besoin à la police, si pour une raison ou une autre le renvoi de l’intéressé ne pouvait avoir lieu à l’occasion du premier vol réservé en sa faveur, de disposer du temps nécessaire pour en organiser un nouveau.</w:t>
      </w:r>
    </w:p>
    <w:p>
      <w:r>
        <w:rPr>
          <w:b/>
        </w:rPr>
        <w:t>E. 12</w:t>
      </w:r>
    </w:p>
    <w:p>
      <w:r>
        <w:t>M. A______ soutient que sa détention à Favra n’est pas adaptée.</w:t>
      </w:r>
    </w:p>
    <w:p>
      <w:r>
        <w:rPr>
          <w:b/>
        </w:rPr>
        <w:t>E. 13</w:t>
      </w:r>
    </w:p>
    <w:p>
      <w:r>
        <w:t>Selon l'art. 80 al. 4 LEI, l'autorité judiciaire qui examine la décision de détention de maintien ou de levée tient compte de la situation familiale de la personne détenue et des conditions d'exécution de la détention.</w:t>
      </w:r>
    </w:p>
    <w:p>
      <w:r>
        <w:rPr>
          <w:b/>
        </w:rPr>
        <w:t>E. 14</w:t>
      </w:r>
    </w:p>
    <w:p>
      <w:r>
        <w:t>A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En outre, les conditions de détention sont régies : a. pour les cas de renvois à destination d’un pays tiers: par les art. 16, al. 3, et 17 de la directive 2008/115/CE240; b. pour les cas liés à un transfert Dublin: par l’art. 28, al. 4, du règlement (UE) no 604/2013241 ( ) (al. 4).</w:t>
      </w:r>
    </w:p>
    <w:p>
      <w:r>
        <w:rPr>
          <w:b/>
        </w:rPr>
        <w:t>E. 15</w:t>
      </w:r>
    </w:p>
    <w:p>
      <w:r>
        <w:t>Si les conditions de détention ne respectent pas les exigences légales, il appartient au juge d'ordonner les mesures qui s'imposent ou – s'il n'est pas possible d'assurer une détention conforme à la loi dans les locaux de l'établissement de détention préventive – de faire transférer à bref délai le recourant dans d'autres locaux. Si la situation légale n'est pas rétablie dans un délai raisonnable, le recourant doit être libéré (ATF 122 II 299 ; arrêt du Tribunal fédéral 2C_128/2009 du 30 mars 2009 consid. 5.2).</w:t>
      </w:r>
    </w:p>
    <w:p>
      <w:r>
        <w:rPr>
          <w:b/>
        </w:rPr>
        <w:t>E. 16</w:t>
      </w:r>
    </w:p>
    <w:p>
      <w:r>
        <w:t>La légalité de la détention administrative au sein de Favra, dans son principe, a été régulièrement confirmée par la chambre administrative, notamment le 2 mai 2023 (cf notamment ATA/514/2023 du 16 mai 2023).</w:t>
      </w:r>
    </w:p>
    <w:p>
      <w:r>
        <w:rPr>
          <w:b/>
        </w:rPr>
        <w:t>E. 17</w:t>
      </w:r>
    </w:p>
    <w:p>
      <w:r>
        <w:t>En l’espèce, M. A______ n’apporte aucune motivation à l’appui de son allégation. Rien ne justifie dès lors à ce stade sa mise en liberté pour ce motif ou son transfert au sein d’un autre établissement de détention administrative.</w:t>
      </w:r>
    </w:p>
    <w:p>
      <w:r>
        <w:rPr>
          <w:b/>
        </w:rPr>
        <w:t>E. 18</w:t>
      </w:r>
    </w:p>
    <w:p>
      <w:r>
        <w:t>Au vu de ce qui précède, il y a lieu de confirmer l'ordre de mise en détention administrative de M. A______, mais pour une durée de deux mois.</w:t>
      </w:r>
    </w:p>
    <w:p>
      <w:r>
        <w:t>- 10/11 - A/2453/2024</w:t>
      </w:r>
    </w:p>
    <w:p>
      <w:r>
        <w:rPr>
          <w:b/>
        </w:rPr>
        <w:t>E. 19</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- 11/11 - A/2453/2024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