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JTAPI/719/2025 vom 27. Juni 2025</w:t>
      </w:r>
    </w:p>
    <w:p>
      <w:r>
        <w:t>GE Cour de justice, 2025-06-27, FR</w:t>
      </w:r>
    </w:p>
    <w:p>
      <w:r>
        <w:rPr>
          <w:b/>
        </w:rPr>
        <w:t xml:space="preserve">Quelle: </w:t>
      </w:r>
      <w:r>
        <w:t>https://mcp.opencaselaw.ch/entscheid/ge_gerichte_JTAPI_719_2025</w:t>
      </w:r>
    </w:p>
    <w:p>
      <w:r>
        <w:t>FR: GE_GERICHTE JTAPI/719/2025 du 27 juin 2025</w:t>
      </w:r>
    </w:p>
    <w:p>
      <w:r>
        <w:t>IT: GE_GERICHTE JTAPI/719/2025 del 27 giugno 2025</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17 juin 2025, le tribunal a été valablement saisi, dans le délai légal précité, d'une requête de l'OCPM tendant à la prolongation de la détention administrative de M. C______ pour une durée de trois mois.</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arrêts du Tribunal fédéral 2C_672/2019 du 22 août 2019 consid. 5.4 ; 2C_263/2019 du 27 juin 2019 consid. 4.1)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w:t>
      </w:r>
    </w:p>
    <w:p>
      <w:r>
        <w:t>- 19/22 - A/2103/2025 Schengen prend du retard (art. 79 al. 2 let. b LEI). Concrètement, dans ces deux circonstances, la détention administrative peut donc atteindre dix-huit mois (cf. not. ATA/848/2014 du 31 octobre 2014 ; ATA/3/2013 du 3 janvier 2013 ; ATA/40/2012 du 19 janvier 2012 ; ATA/518/2011 du 23 août 2011).</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9</w:t>
      </w:r>
    </w:p>
    <w:p>
      <w:r>
        <w:t>Selon l'art. 80 al. 4 LEI, l'autorité judiciaire qui examine la décision de détention de maintien ou de levée tient compte de la situation familiale de la personne détenue et des conditions d'exécution de la détention.</w:t>
      </w:r>
    </w:p>
    <w:p>
      <w:r>
        <w:rPr>
          <w:b/>
        </w:rPr>
        <w:t>E. 10</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(cf. ATF 130 II 56 consid. 4.1.1 et les arrêts cités; arrêts 2C_955/2020 précité consid. 5.1 et l'arrêt cité).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2C_672/2019 du 22 août 2019 consid. 5.1 et les arrêts cités). Tel est par exemple le cas lorsqu'un État refuse explicitement, ou du moins de manière</w:t>
      </w:r>
    </w:p>
    <w:p>
      <w:r>
        <w:t>- 20/22 - A/2103/2025 clairement reconnaissable et cohérente, de reprendre certains de ses ressortissants (cf. ATF 130 II 56 consid. 4.1.3; 125 II 217 consid. 2 et la référence et l'arrêt cités; arrêts 2C_768/2020 du 21 octobre 2020 consid. 5.1; 2C_473/2010 du 25 juin 2010 consid. 4.1). Le facteur décisif est de savoir si l'exécution de la mesure d'éloignement semble possible dans un délai prévisible respectivement raisonnable avec une probabilité suffisante (arrêts 2C_955/2020 précité consid. 5.1; 2C_635/2020 précité consid. 6.1; 2C_597/2020 du 3 août 2020 consid. 4.1). La détention viole l'art. 80 al. 6 let. a LEI, ainsi que le principe de proportionnalité, lorsqu'il y a de bonnes raisons de penser que tel ne pourra pas être le cas (ATF 130 II 56 consid. 4.1.3 et les arrêts cités). Sous l'angle de l'art. 80 al. 6 let. a LEI, la détention ne doit être levée que si la possibilité de procéder à l'expulsion est inexistante ou hautement improbable et purement théorique, mais pas s'il y a une chance sérieuse, bien que mince, d'y procéder (cf. ATF 130 II 56 consid. 4.1.3; arrêts 2C_955/2020 précité consid. 5.1; 2C_597/2020 précité consid. 4.1).</w:t>
      </w:r>
    </w:p>
    <w:p>
      <w:r>
        <w:rPr>
          <w:b/>
        </w:rPr>
        <w:t>E. 11</w:t>
      </w:r>
    </w:p>
    <w:p>
      <w:r>
        <w:t>Savoir si un renvoi, exclu au moment où l'autorité de la détention statue, est possible dans un délai prévisible et donc réalisable, suppose que l'autorité ou le juge dispose d'indications suffisamment concrètes à ce sujet, indications qui sont en particulier fournies par le SEM (cf. arrêt 2C_597/2020 précité consid. 4.1 et les nombreux arrêts cités). À défaut, force est d'admettre qu'il n'y a pas de perspective sérieuse d'exécution de la décision de renvoi et le détenu doit être libéré. La vague possibilité que l'obstacle au renvoi puisse être levé dans un avenir prévisible ne suffit pas à justifier le maintien en détention (cf. ATF 125 II 217 consid. 3b/bb; arrêt 2C_955/2020 précité consid. 5.1 et les arrêts cités).</w:t>
      </w:r>
    </w:p>
    <w:p>
      <w:r>
        <w:rPr>
          <w:b/>
        </w:rPr>
        <w:t>E. 12</w:t>
      </w:r>
    </w:p>
    <w:p>
      <w:r>
        <w:t>En l’espèce, la question de la légalité de la détention de M. C______ a déjà été tranchée à plusieurs reprises par le tribunal de céans ainsi que par la chambre administrative. En particulier, cette dernière a retenu, dans son arrêt du 20 juin 2025 qu’aucune violation de l’art. 81 LEI ou de garanties conventionnelles et constitutionnelles ne pouvait être constatée et qu’ainsi la détention administrative de M. C______ était justifiée : il sera renvoyé aux développements juridiques de cet arrêt. Aucun nouvel élément n’a été apporté tant par le conseil de M. C______ lors de l’audience du 24 juin 2025 et par M. C______ lui-même lors de l’audience de ce jour – les pièces qu’il a produites étant pour la plupart déjà présentes au dossier. S’il n’est pas contesté par M. C______ est atteint dans sa santé, il continue cependant à substituer sa propre appréciation de sa situation médicale à celle des médecins qui se sont jusqu’à présent prononcés sur son cas. L’assurance de son départ de Suisse répond par ailleurs toujours à un intérêt public important puisqu'il a été condamné pénalement à de nombreuses reprises, a été expulsé judiciairement, et qu’aucune mesure moins incisive ne serait en mesure de garantir sa présence lorsque son renvoi devra être exécuté. A ce propos, le tribunal soulignera que M. C______ a indiqué ce jour ne pas être originaire du Maroc mais être apatride, alors qu’il a été dûment reconnu par les autorités marocaines comme étant ressortissant du Maroc, ne pas être d’accord de monter à bord du vol sur lequel</w:t>
      </w:r>
    </w:p>
    <w:p>
      <w:r>
        <w:t>- 21/22 - A/2103/2025 une place lui sera réservée en vue de son refoulement à destination du Maroc et vouloir quitter la Suisse pour se rendre au Pays-Bas, pays dans lequel il n’est actuellement pas autorisé à résider. Précédemment, par la voix de son conseil, il avait fait savoir qu’avant tout départ de Suisse, il souhaitait se faire soigner, et notamment être opéré du genou, laissant ainsi entendre qu’il souhaitait rester en Suisse et ne pas se soumettre à son obligation de repartir dans son pays d’origine. Enfin, M. C______ est sans domicile ni attache en Suisse et n’a aucune source de revenu. Le risque qu’il se soustraie à son renvoi au Maroc - seul pays dans lequel il est autorisé à résider - est ainsi avéré. M. C______ est détenu administrativement depuis le 1er décembre 2024. La durée totale de la mesure est ainsi compatible avec la limite maximale de 18 mois posée par l’art. 79 LEI. La prolongation de sa détention est justifiée par le fait qu’il n’a aucunement coopéré avec les autorités. Depuis le début, il s'oppose à son renvoi vers le Maroc, ce qu’il a encore confirmé ce jour, et ne coopère pas avec les autorités, n’ayant entrepris aucune démarche en vue de faciliter l’exécution de son renvoi. Durant sa détention administrative, il a déposé une demande d'asile, ce qui a eu pour conséquence de suspendre toute mesure en vue du renvoi pendant plusieurs mois et en particulier d’annuler la place sur le vol réservée pour lui en janvier 2025. La durée de la prolongation apparait adéquate vu le temps nécessaire pour terminer les démarches en vue de son renvoi – notamment avec l’arrivée de la période estivale et les difficultés vraisemblables à trouver une place sur un vol à destination du Maroc, d’autant plus si ce vol doit se réaliser avec une escorte policière, mais également d’obtenir le rapport médical détaillé du service médical du G______ requis par l’OCPM le 23 juin dernier suite à l’arrêt de la chambre administrative du 20 juin 2025, confirmant l’injonction du tribunal du 28 mai 2025, lequel permettra de lever tout doute sur le véritable état de santé de M. C______. Il sied de relever que cette durée est relative puisque le recourant pourrait mettre fin plus tôt à sa détention s’il acceptait d’être renvoyé au Maroc.</w:t>
      </w:r>
    </w:p>
    <w:p>
      <w:r>
        <w:rPr>
          <w:b/>
        </w:rPr>
        <w:t>E. 13</w:t>
      </w:r>
    </w:p>
    <w:p>
      <w:r>
        <w:t>En l’état actuel du dossier, le renvoi de M. C______ au Maroc est possible ; la question de son aptitude à voyager sera abordée au moment où son dossier, y compris, cas échéant le rapport médical attendu, sera transmis à l’OSEARA afin qu’il se prononce sur cette question.</w:t>
      </w:r>
    </w:p>
    <w:p>
      <w:r>
        <w:rPr>
          <w:b/>
        </w:rPr>
        <w:t>E. 14</w:t>
      </w:r>
    </w:p>
    <w:p>
      <w:r>
        <w:t>Au vu de ce qui précède, la demande de prolongation de la détention administrative de M. C______ sera admise pour une durée de trois mois, soit jusqu'au 30 septembre 2025.</w:t>
      </w:r>
    </w:p>
    <w:p>
      <w:r>
        <w:rPr>
          <w:b/>
        </w:rPr>
        <w:t>E. 15</w:t>
      </w:r>
    </w:p>
    <w:p>
      <w:r>
        <w:t>Conformément à l'art. 9 al. 6 LaLEtr, le présent jugement sera communiqué à M. C______, à son avocat et à l’OCPM. En vertu des art. 89 al. 2 et 111 al. 2 de la loi sur le Tribunal fédéral du 17 juin 2005 (LTF - RS 173.110), il sera en outre communiqué au secrétariat d'État aux migrations.</w:t>
      </w:r>
    </w:p>
    <w:p>
      <w:r>
        <w:t>- 22/22 - A/2103/2025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