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JTAPI/719/2024 vom 11. März 2024</w:t>
      </w:r>
    </w:p>
    <w:p>
      <w:r>
        <w:t>GE Cour de justice, 2024-03-11, FR</w:t>
      </w:r>
    </w:p>
    <w:p>
      <w:r>
        <w:rPr>
          <w:b/>
        </w:rPr>
        <w:t xml:space="preserve">Quelle: </w:t>
      </w:r>
      <w:r>
        <w:t>https://mcp.opencaselaw.ch/entscheid/ge_gerichte_JTAPI_719_2024</w:t>
      </w:r>
    </w:p>
    <w:p>
      <w:r>
        <w:t>FR: GE_GERICHTE JTAPI/719/2024 du 11 mars 2024</w:t>
      </w:r>
    </w:p>
    <w:p>
      <w:r>
        <w:t>IT: GE_GERICHTE JTAPI/719/2024 del 11 marzo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4. Pour déterminer la durée et s'il y a lieu de prononcer un retrait d'admonestation, la LCR distingue les infractions légères, moyennement graves et graves (art. 16a à 16c LCR).</w:t>
      </w:r>
    </w:p>
    <w:p>
      <w:r>
        <w:rPr>
          <w:b/>
        </w:rPr>
        <w:t>E. 5</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w:t>
      </w:r>
    </w:p>
    <w:p>
      <w:r>
        <w:rPr>
          <w:b/>
        </w:rPr>
        <w:t>E. 6</w:t>
      </w:r>
    </w:p>
    <w:p>
      <w:r>
        <w:t>Le législateur conçoit l'art. 16b al. 1 let. a LCR comme l'élément dit de regroupement. Cette disposition n'est ainsi pas applicable aux infractions qui tombent sous le coup des art. 16a al. 1 let. a et 16c al. 1 let. a LCR. Ainsi,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w:t>
      </w:r>
    </w:p>
    <w:p>
      <w:r>
        <w:t>- 4/6 - A/1183/2024 en danger grave (ATF 136 II 447 consid. 3.2 ; 135 II 138 consid. 2.2.2 ; arrêts du Tribunal fédéral 1C_525/2012 du 24 octobre 2013 consid. 2.1 ; 6A.16/2006 du 6 avril 2006 consid. 2.1.1).</w:t>
      </w:r>
    </w:p>
    <w:p>
      <w:r>
        <w:rPr>
          <w:b/>
        </w:rPr>
        <w:t>E. 7</w:t>
      </w:r>
    </w:p>
    <w:p>
      <w:r>
        <w:t>L'art. 16c al. 2 let. a LCR prévoit qu'après une infraction grave, le permis de conduire est retiré pour trois mois au minimum. 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 sanctions de substitution à l'encontre du conducteur fautif, d'autant plus si celles-ci ne sont pas prévues par la loi.</w:t>
      </w:r>
    </w:p>
    <w:p>
      <w:r>
        <w:rPr>
          <w:b/>
        </w:rPr>
        <w:t>E. 8</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(ATF 132 II 234 consid. 3.1.). Dans le domaine des excès de vitesse, la jurisprudence a été amenée à fixer des règles précises afin d'assurer l'égalité de traitement.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(arrêt 6B_444/2016 du 3 avril 2017 consid. 1.1).</w:t>
      </w:r>
    </w:p>
    <w:p>
      <w:r>
        <w:rPr>
          <w:b/>
        </w:rPr>
        <w:t>E. 9</w:t>
      </w:r>
    </w:p>
    <w:p>
      <w:r>
        <w:t>En l’espèce, le dépassement de la vitesse autorisée de 44 km/h, marge de sécurité déduite, sur l'autoroute, n'est en soi pas contesté par le recourant. Dans cette mesure, compte tenu de la jurisprudence fédérale, le recourant a commis une infraction grave au sens de l’art. 16c al. 1 let. a LCR.</w:t>
      </w:r>
    </w:p>
    <w:p>
      <w:r>
        <w:rPr>
          <w:b/>
        </w:rPr>
        <w:t>E. 10</w:t>
      </w:r>
    </w:p>
    <w:p>
      <w:r>
        <w:t>En vertu de l'art. 16 al. 3 LCR, les circonstances qui doivent être prises en considérations pour fixer la durée du retrait du permis de conduire sont notamment l'atteinte à la sécurité routière, la gravité de la faute, les antécédents en tant que conducteur ainsi que la nécessité professionnelle de conduire un véhicule automobile ; la durée minimale du retrait ne peut être toutefois réduite.</w:t>
      </w:r>
    </w:p>
    <w:p>
      <w:r>
        <w:t>- 5/6 - A/1183/2024</w:t>
      </w:r>
    </w:p>
    <w:p>
      <w:r>
        <w:rPr>
          <w:b/>
        </w:rPr>
        <w:t>E. 11</w:t>
      </w:r>
    </w:p>
    <w:p>
      <w:r>
        <w:t>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un chauffeur de taxis, un livreur ou un routier (arrêts du Tribunal fédéral 1C_430/2011 du 7 mars 2012 consid. 4.2 ; 1C_63/2007 du 24 septembre 2007 consid. 4.4 ; SJ 1994 p. 534). Cela étant, le Tribunal fédéral a déjà rappelé que la durée minimale était incompressible et cela même pour les personnes dont les besoins professionnels de disposer d’un permis de conduire étaient avérés. Il l’a d’ailleurs confirmé s’agissant d’un chauffeur-livreur (arrêt du Tribunal fédéral 1C_498/2012 du 8 janvier 2013), d’un administrateur de sociétés (arrêt du Tribunal fédéral 1C_216/2009 du 14 septembre 2009 consid. 5.2 et 6) et d’un chauffeur de taxi (ATF 132 II 234 consid. 3.2).</w:t>
      </w:r>
    </w:p>
    <w:p>
      <w:r>
        <w:rPr>
          <w:b/>
        </w:rPr>
        <w:t>E. 12</w:t>
      </w:r>
    </w:p>
    <w:p>
      <w:r>
        <w:t>En l’espèce, le recourant fait valoir que lors de l’infraction la vitesse était réduite par des panneaux de signalisation qu’il n’avait pas vus et que sa compagne, enceinte se plaignait de diverses douleurs liées à sa grossesse. Il indique par ailleurs qu’il ne pourra plus exercer son activité professionnelle d’exploitant d’un garage s’il devait subir trois mois de retrait de son permis, sans plus d’indication. Il apparait que l'OCV ne s'est pas écarté du minimum légal prévu par l’art. 16c al. 2 let. a LCR en fixant à trois mois l’interdiction de conduire en Suisse. Étant lié par cette durée, qui constitue le minimum légal incompressible devant sanctionner l'infraction en cause, il a correctement appliqué la règle précitée, n'a pas excédé ou abusé de son pouvoir d'appréciation ni violé le principe de proportionnalité. Ni l’inattention sur la signalisation routière en place ou les éventuelles plaintes de sa compagne en lien avec sa grossesse sont de nature à justifier une réduction de la durée, pas plus qu’un éventuel besoin professionnel de conduire des voitures automobiles, conformément à la jurisprudence rappelée ci-dessus.</w:t>
      </w:r>
    </w:p>
    <w:p>
      <w:r>
        <w:rPr>
          <w:b/>
        </w:rPr>
        <w:t>E. 13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- 6/6 - A/1183/2024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