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JTAPI/718/2024 vom 19. Juli 2024</w:t>
      </w:r>
    </w:p>
    <w:p>
      <w:r>
        <w:t>GE Cour de justice, 2024-07-19, FR</w:t>
      </w:r>
    </w:p>
    <w:p>
      <w:r>
        <w:rPr>
          <w:b/>
        </w:rPr>
        <w:t xml:space="preserve">Quelle: </w:t>
      </w:r>
      <w:r>
        <w:t>https://mcp.opencaselaw.ch/entscheid/ge_gerichte_JTAPI_718_2024</w:t>
      </w:r>
    </w:p>
    <w:p>
      <w:r>
        <w:t>FR: GE_GERICHTE JTAPI/718/2024 du 19 juillet 2024</w:t>
      </w:r>
    </w:p>
    <w:p>
      <w:r>
        <w:t>IT: GE_GERICHTE JTAPI/718/2024 del 19 luglio 2024</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w:t>
      </w:r>
    </w:p>
    <w:p>
      <w:r>
        <w:t>- 7/9 - A/2421/2024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M. A______ estime que la mesure d’éloignement aurait dû être prononcée à l’encontre de sa femme, qui est agressive envers lui et qui l’a agressé en premier lors de l’altercation du 13 juillet dernier. Il n’avait pour sa part fait que se défendre. Il reconnait toutefois qu’il y a eu de la violence de part et d’autre lors de l’altercation. Il explique ne plus avoir l’intention de revenir au domicile conjugal et reconnait que son épouse, depuis le mois de mai en tout cas, s’occupe majoritairement de leurs enfants. Mme B______ explique pour sa part avoir peur de son mari, lequel lui fait subir des pressions psychologiques et de la violence physique et sexuelle. Lors de l’altercation du 13 juillet 2024, c’était son mari qui l’avait agressée et elle n’avait fait que se défendre. Son mari ne s’occupait pas de leurs enfants. Les époux s’accordent sur leur volonté de se séparer et de divorcer, et que des discussions à ce sujet ont été entamées. Aux vu des déclarations des parties et des pièces du dossier, le tribunal retient que la situation conjugale du couple est très difficile et que la séparation, souhaitée par les deux époux, semble inévitable. Chaque époux estime que l’altercation du 13 juillet 2024, qui a entrainé des violences physiques de part et d’autre a été provoqué par l’autre : en tout état, selon les certifications médicaux produits, chaque époux a subi des lésions, notamment des griffures et des hématomes, ce qui laisse à penser que les violences dans le couple sont réciproques. En tout état, les faits tels que décrits par les deux époux correspondent sans conteste à la notion de violence domestique, au sens défini plus haut. Dans ces circonstances, la question n'est pas de savoir lequel des intéressés est plus responsable que l'autre de la situation, ce qui est bien souvent impossible à établir. L'essentiel est de séparer les conjoints en étant au moins à peu près certain que celui qui est éloigné du domicile conjugal est lui aussi l'auteur de violences.</w:t>
      </w:r>
    </w:p>
    <w:p>
      <w:r>
        <w:t>- 8/9 - A/2421/2024 Il doit par ailleurs tenu compte de la situation dans laquelle se trouve chacun des époux, soit en particulier le fait que M. A______ ne loge plus dans l’appartement conjugal depuis le mois de juin – ayant pris une sous-location ou dormant dans la cave – et que les quatre enfants du couple, dont les parties s’accordent à dire que c’est actuellement Mme B______ qui s’en occupe principalement, résident dans l’appartement conjugal. Dans ces circonstances, vu en particulier le caractère récent des événements, de la situation visiblement conflictuelle et complexe dans laquelle les deux intéressés se trouvent et de la volonté clairement exprimée par les époux de ne plus souhaiter poursuivre la vie commune, la perspective qu'ils se retrouvent immédiatement sous le même toit apparaît inopportune, quand bien même il est évident qu'une mesure d'éloignement administrative ne permettra pas, à elle seule, de régler la situation. Cependant, cette mesure ne signifie aucunement que M. A______ porte seul la responsabilité de la violence existant au sein du couple, les époux ayant tous les deux fait subir des violences à l’autre, en particulier lors de l’altercation du 13 juillet 2024, sans que l’on puisse déterminer qui a agressé l’autre et qui n’aurait fait que se défendre.</w:t>
      </w:r>
    </w:p>
    <w:p>
      <w:r>
        <w:rPr>
          <w:b/>
        </w:rPr>
        <w:t>E. 6</w:t>
      </w:r>
    </w:p>
    <w:p>
      <w:r>
        <w:t>Au vu de ce qui précède, l'opposition sera rejetée et la mesure d'éloignement confirmée dans son principe et sa durée, soit 10 jours, laquelle constitue la durée la plus courte prévue par la loi.</w:t>
      </w:r>
    </w:p>
    <w:p>
      <w:r>
        <w:rPr>
          <w:b/>
        </w:rPr>
        <w:t>E. 7</w:t>
      </w:r>
    </w:p>
    <w:p>
      <w:r>
        <w:t>Il ne sera pas perçu d'émolument (art. 87 al. 1 LPA).</w:t>
      </w:r>
    </w:p>
    <w:p>
      <w:r>
        <w:rPr>
          <w:b/>
        </w:rPr>
        <w:t>E. 8</w:t>
      </w:r>
    </w:p>
    <w:p>
      <w:r>
        <w:t>Un éventuel recours déposé contre le présent jugement n'aura pas d'effet suspensif (art. 11 al. 1 LVD ; rapport rendu le 1er juin 2010 par la commission judiciaire et de la police chargée d'étudier le PL 10582, p. 17).</w:t>
      </w:r>
    </w:p>
    <w:p>
      <w:r>
        <w:t>- 9/9 - A/2421/2024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