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JTAPI/718/2022 vom 24. Februar 2015</w:t>
      </w:r>
    </w:p>
    <w:p>
      <w:r>
        <w:t>GE Cour de justice, 2015-02-24, FR</w:t>
      </w:r>
    </w:p>
    <w:p>
      <w:r>
        <w:rPr>
          <w:b/>
        </w:rPr>
        <w:t xml:space="preserve">Quelle: </w:t>
      </w:r>
      <w:r>
        <w:t>https://mcp.opencaselaw.ch/entscheid/ge_gerichte_JTAPI_718_2022</w:t>
      </w:r>
    </w:p>
    <w:p>
      <w:r>
        <w:t>FR: GE_GERICHTE JTAPI/718/2022 du 24 février 2015</w:t>
      </w:r>
    </w:p>
    <w:p>
      <w:r>
        <w:t>IT: GE_GERICHTE JTAPI/718/2022 del 24 febbraio 2015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6 juillet 2022 à 18h15.</w:t>
      </w:r>
    </w:p>
    <w:p>
      <w:r>
        <w:rPr>
          <w:b/>
        </w:rPr>
        <w:t>E. 3</w:t>
      </w:r>
    </w:p>
    <w:p>
      <w:r>
        <w:t>La détention administrative porte une atteinte grave à la liberté personnelle et ne peut être ordonnée que dans le respect de l'art. 5 par. 1 let. f CEDH (cf.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4</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5</w:t>
      </w:r>
    </w:p>
    <w:p>
      <w:r>
        <w:t>Selon l'art. 76 al. 1 let. b ch. 1 LEI, en lien avec l'art. 75 al. 1 let. g et h LEI après notification d'une décision de première instance de renvoi ou d'une décision de première instance d'expulsion au sens des art. 66a ou 66abis CP, l'autorité compétente peut, afin d'en assurer l'exécution, mettre en détention la personne concernée lorsque elle menace sérieusement d'autres personnes ou met gravement en danger leur vie ou leur intégrité corporelle et fait l'objet d'une poursuite pénale ou a été condamnée pour ce motif (let. g), respectivement lorsqu'elle a été condamnée pour crime, par quoi il faut entendre une infraction passible d'une peine privative de liberté de plus de trois ans (cf. art. 10 al. 2 CP ; ATA/220/2018</w:t>
      </w:r>
    </w:p>
    <w:p>
      <w:r>
        <w:t>- 5/8 - A/2239/2022 du 8 mars 2018 consid. 4a ; ATA/997/2016 du 23 novembre 2016 consid. 4a ; ATA/295/2011 du 12 mai 2011 consid. 4).</w:t>
      </w:r>
    </w:p>
    <w:p>
      <w:r>
        <w:rPr>
          <w:b/>
        </w:rPr>
        <w:t>E. 6</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 En présence d'un petit dealer qui n'a été condamné qu'une fois pour un trafic d'une faible quantité de stupéfiants (même de drogues dures), il convient d'examiner l'ensemble des circonstances, afin de former un pronostic sur le risque de réitération. Ce n'est qu'en présence d'indices concrets en ce sens que l'on peut retenir pour l'avenir une grave mise en danger de la vie ou de l'intégrité d'autres personnes, ce qui est la condition à une mise en détention en phase préparatoire au sens de l'art. 75 al. 1 let. g LEtr ».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7</w:t>
      </w:r>
    </w:p>
    <w:p>
      <w:r>
        <w:t>La détention administrative au sens de l'art. 76 LEI est autorisée dès le prononcé en première instance d'une décision de renvoi, respectivement d'expulsion, indépendamment du fait que celle-ci fasse l'objet d'un recours (cf. ATF 140 II 409 consid. 2.3.4 p. 413; 140 II 74 consid. 2.1 p. 76)</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Comme toute mesure étatique, la détention administrative en matière de droit des étrangers doit respecter le principe de la proportionnalité (cf. art. 5 al. 2 et 36 Cst.</w:t>
      </w:r>
    </w:p>
    <w:p>
      <w:r>
        <w:t>- 6/8 - A/2239/2022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11</w:t>
      </w:r>
    </w:p>
    <w:p>
      <w:r>
        <w:t>En l'occurrence M. A______ fait l'objet d'une mesure d'expulsion judiciaire. Il a été condamné pour crime à la LStup en 2013 et pour rixe en 2014. À cela s'ajoute qu'il a été condamné pénalement pour infraction à l'art. 19 al. 1 let. b et d LStup le 6 juillet 2022. Même si elle ne repose pas sur l'art. 19 al. 2 LStup, cette dernière condamnation porte cependant à tout le moins sur une détention de 60 gr de cocaïne. Quand bien même M. A______ a tenté d'expliquer au tribunal que les faits pour lesquels il a été condamné étaient le résultat d'un « malheureux concours de circonstances », il ne peut être perdu de vue qu'en sollicitant l'exécution de la procédure simplifiée devant le Tribunal de police, il a reconnu les faits fondant sa culpabilité. Par ailleurs, les circonstances de son interpellation qui ont révélé qu'il détenait non seulement 60 gr de cocaïne cachés dans l'appartement de sa mère mais également le matériel servant au conditionnement de la drogue tel qu'une balance, de même que son lourd antécédent en matière de trafic de stupéfiant ne permettent pas au tribunal de retenir qu'il s'est agi s'un simple cas isolé. Au contraire, le tribunal peut retenir avec un degré de vraisemblance confinant à la certitude que si M. A______ est peut-être venu à Genève pour passer des vacances en famille, il n'a pas hésité à participer à un trafic drogue et qu'il serait prêt à s'y adonner à nouveau en tout</w:t>
      </w:r>
    </w:p>
    <w:p>
      <w:r>
        <w:t>- 7/8 - A/2239/2022 temps malgré sa première condamnation en 2013. Partant, le motif de détention administrative prévu à l'art. 75 al. 1 let. g LEI retenu par le commissaire de police est bien fondé, ce motif permettant à lui seul le prononcé d'une telle mesure sans qu'il y ait lieu d'examiner si elle se justifie également sous l'angle de la let. h. Par ailleurs, l’assurance de son départ de Suisse répond à un intérêt public certain et toute autre mesure moins incisive serait vaine pour assurer sa présence au moment où il devra monter à bord de l’avion devant le refouler, étant rappelé que les autorités suisses ont l’obligation, en vertu de leur engagements internationaux, d’obtenir l’accord des autorités espagnoles pour procéder au renvoi de M. A______ et que compte tenu de la propension de l'intéressé à violer l'ordre juridique, il apparait peu vraisemblable qu'il se conforme spontanément à son obligation de quitter la Suisse le temps venu, de sorte qu'une assignation à résidence au domicile de sa mère - laquelle ne constitue à l'évidence pas un gage qu'il ne continuera pas à s'adonner à des activités délictueuses - ne saurait entrer en ligne de compte. Par ailleurs, ayant sans attendre entrepris les démarches nécessaires en vue de sa réadmission en Espagne, préalable nécessaire avant la réservation d'une place à bord d'un avion, la police a en l'état respecté son obligation découlant de l'art. 76 al. 4 LEI. Compte tenu de ces circonstances, il peut se justifier de confirmer la détention administrative M. A______ pour la durée décidée de six semaines, qui respecte le cadre légal fixé par l'art. 79 al. 1 LEI et n'apparaît pas d'emblée inadéquate ou excessive. Il ne peut à cet égard être fait abstraction du fait que, malgré l'accord de réadmission la liant à la Suisse, l'Espagne n'est pas forcément toujours en mesure de respecter le délai de réponse prévu par celui-ci, ce d'autant plus dans la situation exceptionnelle que connaissent actuellement plusieurs États européens, à qui il appartient de gérer l'arrivée sur leur territoire de nombreux ressortissants ukrainiens fuyant la guerre sévissant dans leur pays. Néanmoins, il y a tout lieu de penser que l'exécution de son renvoi pourra être organisée et avoir lieu avant cette échéance. La portée d'une telle durée apparaît ainsi relative. Au vu de ce qui précède, il y a lieu de confirmer l'ordre de mise en détention administrative de M. A______ pour une durée de six semaines.</w:t>
      </w:r>
    </w:p>
    <w:p>
      <w:r>
        <w:rPr>
          <w:b/>
        </w:rPr>
        <w:t>E. 12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A/2239/2022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