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JTAPI/715/2025 vom 26. Juni 2025</w:t>
      </w:r>
    </w:p>
    <w:p>
      <w:r>
        <w:t>GE Cour de justice, 2025-06-26, FR</w:t>
      </w:r>
    </w:p>
    <w:p>
      <w:r>
        <w:rPr>
          <w:b/>
        </w:rPr>
        <w:t xml:space="preserve">Quelle: </w:t>
      </w:r>
      <w:r>
        <w:t>https://mcp.opencaselaw.ch/entscheid/ge_gerichte_JTAPI_715_2025</w:t>
      </w:r>
    </w:p>
    <w:p>
      <w:r>
        <w:t>FR: GE_GERICHTE JTAPI/715/2025 du 26 juin 2025</w:t>
      </w:r>
    </w:p>
    <w:p>
      <w:r>
        <w:t>IT: GE_GERICHTE JTAPI/715/2025 del 26 giugno 2025</w:t>
      </w:r>
    </w:p>
    <w:p>
      <w:pPr>
        <w:pStyle w:val="Heading2"/>
      </w:pPr>
      <w:r>
        <w:t>Erwägungen</w:t>
      </w:r>
    </w:p>
    <w:p>
      <w:r>
        <w:rPr>
          <w:b/>
        </w:rPr>
        <w:t>E. 19</w:t>
      </w:r>
    </w:p>
    <w:p>
      <w:r>
        <w:t>Le détail des écritures et des pièces produites sera repris dans la partie « En droit » en tant que de besoin. EN DROIT 1. Le Tribunal administratif de première instance connaît des recours dirigés contre les décisions prises en application de la LRoutes ou de ses dispositions d’application, tel, par exemple, que le RUDP (art. 93 al. 1 RUDP cum 96 al. 1 LRoutes). 2. Interjeté en temps utile et dans les formes prescrites devant la juridiction compétente, le recours est recevable au sens des art. 62 à 65 de la loi sur la procédure administrative du 12 septembre 1985 (LPA - E 5 10). 3. Compte tenu du fait que la recourante a suivi la procédure de demande de permission d'usage accru du domaine public, conformément à la pratique de l'autorité intimée qu'elle conteste, se pose la question de son intérêt actuel à s'opposer à la décision litigieuse. 4.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5. Un intérêt digne de protection suppose un intérêt actuel à obtenir l'annulation de la décision attaquée (ATF 138 II 42 consid. 1 ; 137 I 23 consid 1.3 Thierry TANQUEREL, op. cit.,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 6. En l’espèce, il convient d'admettre que la recourante dispose d'un intérêt digne de protection à recourir contre la décision litigieuse et à contester sur son principe la nouvelle pratique de l'autorité intimée, dès lors que la situation litigieuse pourrait encore se présenter. En effet, dans le cadre de son activité de vidange, la recourante sera amenée à suivre à nouveau cette procédure et à s'acquitter des frais qui en découlent. 7. À titre préalable, la recourante sollicite – implicitement – l'audition des parties. 8.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w:t>
      </w:r>
    </w:p>
    <w:p>
      <w:r>
        <w:t>- 9/20 - A/1736/2024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9. En l'espèce, le dossier contient les éléments pertinents et nécessaires à l'examen des griefs et arguments mis en avant par les parties, permettant ainsi au tribunal de se forger une opinion et de trancher le litige. Il n'y a dès lors pas lieu de procéder à la comparution personnelle des parties, cet acte d'instruction, en soi non obligatoire, ne s'avérant pas nécessaire. Au surplus, la recourante a eu la possibilité de s'exprimer et de compléter sa présentation des faits, en produisant des pièces, étant au surplus noté que la cause ne soulève pas de question de crédibilité ni ne suscite de controverse sur les faits. Le tribunal dispose ainsi d'un dossier complet qui lui permet de se prononcer sur les griefs soulevés en toute connaissance de cause, sans besoin d'actes d'instruction complémentaires. Partant, la demande de comparution personnelle des parties sera rejetée. 10.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11. Saisi d’un recours, le tribunal applique le droit d’office. Il ne peut pas aller au-delà des conclusions des parties, mais n’est lié ni par les motifs invoqués par celles-ci</w:t>
      </w:r>
    </w:p>
    <w:p>
      <w:r>
        <w:t>- 10/20 - A/1736/2024 (art. 69 al. 1 LPA), ni par leur argumentation juridique (cf. ATA/386/2018 du</w:t>
      </w:r>
    </w:p>
    <w:p>
      <w:r>
        <w:rPr>
          <w:b/>
        </w:rPr>
        <w:t>E. 24</w:t>
      </w:r>
    </w:p>
    <w:p>
      <w:r>
        <w:t>Dans le cas d'espèce, le déploiement de l'activité de la recourante, à l'aide d'un camion stationné hors d'une place de stationnement sur le domaine public, lequel doit être qualifié d'installation, quand bien même non permanente, sur cette durée, répond ainsi aux critères de définition d'un usage accru du domaine public.</w:t>
      </w:r>
    </w:p>
    <w:p>
      <w:r>
        <w:t>Plus largement, il en va de même lorsque la recourante stationne sur le domaine public, sur une place de stationnement, afin de réaliser son activité de vidange dès lors qu'elle soustrait à tout un chacun l'usage d'une portion délimitée du domaine public pendant la durée de l'intervention, ce qui constitue là-aussi, de facto, un usage accru du domaine public.</w:t>
      </w:r>
    </w:p>
    <w:p>
      <w:r>
        <w:rPr>
          <w:b/>
        </w:rPr>
        <w:t>E. 25</w:t>
      </w:r>
    </w:p>
    <w:p>
      <w:r>
        <w:t>Reste encore à déterminer si c'est à bon droit que l'autorité intimée exige l'obtention préalable d'une permission. À cet égard, la recourante prétend que l'ancienne pratique de la ville était conforme au droit et que le changement de pratique ne répondrait pas à un intérêt public prépondérant, serait contraire au principe d'égalité de traitement, disproportionné et constitutif d'un formalisme excessif.</w:t>
      </w:r>
    </w:p>
    <w:p>
      <w:r>
        <w:rPr>
          <w:b/>
        </w:rPr>
        <w:t>E. 26</w:t>
      </w:r>
    </w:p>
    <w:p>
      <w:r>
        <w:t>L'art. 13 LDPu subordonne à permission - à concession s'ils sont assortis de dispositions contractuelles - l'établissement de constructions ou d'installations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Elles peuvent être retirées sans indemnité pour de justes motifs, notamment si l’intérêt général l’exige (art. 19 al. 2 LDPu). Les permissions et les concessions ne</w:t>
      </w:r>
    </w:p>
    <w:p>
      <w:r>
        <w:t>- 15/20 - A/1736/2024 sont accordées ou octroyées que sous réserve des droits privés des tiers et aux risques et périls des bénéficiaires (art. 23 LDPu).</w:t>
      </w:r>
    </w:p>
    <w:p>
      <w:r>
        <w:rPr>
          <w:b/>
        </w:rPr>
        <w:t>E. 27</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1P.319/2003 du 26 août 2003 consid. 2.1 ; ATA/386/2016 du 3 mai 2016 consid. 6c).</w:t>
      </w:r>
    </w:p>
    <w:p>
      <w:r>
        <w:rPr>
          <w:b/>
        </w:rPr>
        <w:t>E. 28</w:t>
      </w:r>
    </w:p>
    <w:p>
      <w:r>
        <w:t>À cet égard, l'art. 15 LDPu constitue une base légale suffisante pour limiter les libertés (ATA/1157/2018 du 30 octobre 2018 ; ATA/646/2014 du 19 août 2014 ; ATA/63/2012 du 31 janvier 2012).</w:t>
      </w:r>
    </w:p>
    <w:p>
      <w:r>
        <w:rPr>
          <w:b/>
        </w:rPr>
        <w:t>E. 29</w:t>
      </w:r>
    </w:p>
    <w:p>
      <w:r>
        <w:t>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 L'art. 56 LRoutes prévoit également que toute utilisation des voies publiques qui excède l'usage commun doit faire l'objet d'une permission ou d'une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w:t>
      </w:r>
    </w:p>
    <w:p>
      <w:r>
        <w:rPr>
          <w:b/>
        </w:rPr>
        <w:t>E. 30</w:t>
      </w:r>
    </w:p>
    <w:p>
      <w:r>
        <w:t>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w:t>
      </w:r>
    </w:p>
    <w:p>
      <w:r>
        <w:rPr>
          <w:b/>
        </w:rPr>
        <w:t>E. 31</w:t>
      </w:r>
    </w:p>
    <w:p>
      <w:r>
        <w:t>Les usages particuliers du domaine public provoquent un besoin accru de coordination et de fixation des priorités, en rapport avec la protection des usages communs, notamment la sécurité de la circulation des piétons et des automobilistes. Il y a également lieu de prendre en considération les intérêts des riverains, lorsque l'usage non commun sollicité est de nature à provoquer des nuisances importantes (Pierre MOOR/Thierry TANQUEREL/François BELLANGER, op. cit., p. 725).</w:t>
      </w:r>
    </w:p>
    <w:p>
      <w:r>
        <w:rPr>
          <w:b/>
        </w:rPr>
        <w:t>E. 32</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w:t>
      </w:r>
    </w:p>
    <w:p>
      <w:r>
        <w:t>- 16/20 - A/1736/2024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33</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w:t>
      </w:r>
    </w:p>
    <w:p>
      <w:r>
        <w:t>Il n’y a en principe pas d’égalité dans l’illégalité (arrêt du Tribunal fédéral 1C_28/2019 du 23 décembre 2019 consid. 6.1 ; ATA/508/2020 du 26 mai 2020 consid. 6c).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semblables.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 C’est seulement lorsque toutes ces conditions sont remplies que le citoyen est en droit de prétendre, à titre exceptionnel, au bénéfice de l’égalité dans l’illégalité (arrêts du Tribunal fédéral 2C_949/2019 du 11 mai 2020 consid. 6.3 ; 6B_921/2019 du 19 septembre 2019 consid. 1.1).</w:t>
      </w:r>
    </w:p>
    <w:p>
      <w:r>
        <w:rPr>
          <w:b/>
        </w:rPr>
        <w:t>E. 34</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t>Traditionnellement, ledit principe se compose des règles d’aptitude - qui exigent que le moyen choisi soit propre à atteindre le but fixé -, de nécessité - qui impose qu’entre plusieurs moyens adaptés, l’on choisisse celui qui porte l’atteinte la moins</w:t>
      </w:r>
    </w:p>
    <w:p>
      <w:r>
        <w:t>- 17/20 - A/1736/2024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35</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rPr>
          <w:b/>
        </w:rPr>
        <w:t>E. 36</w:t>
      </w:r>
    </w:p>
    <w:p>
      <w:r>
        <w:t>En l'espèce, conformément aux textes clairs des art. 13 LDPu et 56 al. 1 LRoutes, l'usage accru du domaine public est soumis à permission, en particulier lorsqu'il s'agit du déroulement d'une activité commerciale, comme c'est le cas pour la recourante, nonobstant la question de l'utilité de son activité en termes de salubrité publique. À toutes fins utiles, il sera en outre rappelé que, conformément à la jurisprudence du Tribunal fédéral mentionnée plus haut, une exigence d'obtention d'une autorisation préalable d'utilisation accrue du domaine public peut être imposée même en l'absence d'une base légale spécifique.</w:t>
      </w:r>
    </w:p>
    <w:p>
      <w:r>
        <w:t>C'est donc à raison que l'autorité intimée exige désormais l'obtention d'une permission, comme la chambre administrative l’a également admis dans l’ATA/9______ cité plus haut.</w:t>
      </w:r>
    </w:p>
    <w:p>
      <w:r>
        <w:t>L'autorité intimée ne conteste pas qu'avant son changement de pratique intervenu le 1er janvier 2023, elle n'exigeait pas l'obtention préalable de permissions. Cela étant, elle explique que ce changement est issu d'une réflexion visant la mise en conformité au droit de sa pratique s'agissant de cette problématique, notamment en lien avec l'activité des déménageurs. Or, s'il est certes vrai que la pratique développée au sujet de ces derniers, telle qu'elle ressort du courriel du 3 mars 2023 du SEP, ne saurait être appliquée stricto sensu aux entreprises actives dans le domaine de la vidange, comme exposé précédemment, en assimilant la réservation de places de stationnement sur le domaine public, ou plus largement l'utilisation d'une portion du domaine public comme un usage accru de celui-ci soumis à permission, la ville adopte désormais une pratique conforme au droit en vigueur. Ce faisant, elle tient compte de tous les intérêts en présence. Ce constat a pour corollaire, qu'auparavant, sa pratique ne l'était pas. Partant, en modifiant cette dernière, la ville a en réalité établi une pratique conforme au droit, de sorte que la recourante ne saurait exiger le maintien d'une ancienne pratique non conforme.</w:t>
      </w:r>
    </w:p>
    <w:p>
      <w:r>
        <w:t>- 18/20 - A/1736/2024</w:t>
      </w:r>
    </w:p>
    <w:p>
      <w:r>
        <w:t>On ne saurait également y voir une quelconque violation du principe d'égalité de traitement. En effet, outre le fait que ce changement de pratique repose sur un juste motif évident, force est de constater qu'il ne touche pas uniquement les sociétés qui pratiquent des opérations de vidange à titre professionnel, mais également des usagers présents dans d'autres secteurs d'activités. La recourante ne démontre pas le contraire.</w:t>
      </w:r>
    </w:p>
    <w:p>
      <w:r>
        <w:t>Dans le même sens, la nouvelle pratique de la ville ne saurait être qualifiée de disproportionnée. En effet, il est manifeste qu'elle est apte à assurer son objectif de contrôle de l'activité déployée sur le domaine public et l'on peine également à concevoir une autre solution moins contraignante pour les usagers, de sorte que les critères d'aptitude et de nécessité sont donnés. Sous l'angle de la proportionnalité au sens étroit, par le passé, les sociétés actives dans les opérations de vidange interpellaient les services de police afin de les prévenir d'une prochaine utilisation temporaire du domaine public, tout comme le faisaient auparavant les entreprises actives dans le déménagement. Avec sa nouvelle pratique, la ville impose désormais à toute personne souhaitant faire un usage accru du domaine public de remplir un formulaire en ce sens dix jours avant l'évènement. Il apparaît ainsi que la charge administrative que subira la recourante reste dans une large mesure identique à celle qu'elle connaissait auparavant. On voit mal que le suivi des permissions et le paiement des taxes relatives à son activité seraient de nature à entraîner un travail supplémentaire tel qu'il nécessiterait l'engagement de plusieurs nouveaux collaborateurs. S'agissant de la prétendue absence de communication du changement de pratique, il appert en réalité que le SEP en a d'abord informé certaines entreprises particulières, comme celles actives dans le déménagement, puis a étendu l'information à un plus grand cercle de professionnels, dont la recourante. Le site Internet de l'autorité intimée a finalement été adapté afin de s'adresser à l'ensemble des usagers. À cela s'ajoute que le délai de dix jours n'apparait à l'évidence pas excessif, vu les objectifs de sécurité en jeu, étant précisé que les sociétés professionnelles font en général usage de véhicules dépassant les gabarits ordinaires des places de stationnement, ce qui est susceptible de causer des conflits d'usage du domaine public entre l'ensemble des usagers. En outre, comme indiqué précédemment, cette nouvelle pratique, outre qu'elle assure une meilleure égalité de traitement entre les diverses catégories d'usagers qui font un usage accru du domaine public, a avant tout pour but d'assurer un meilleur contrôle de l'activité déployée sur le domaine public, en particulier autour des questions de sécurité, de sorte que l'intérêt public à son maintien doit primer l'intérêt privé de la recourante au maintien de l'ancienne pratique. Ainsi, la nouvelle pratique de l'autorité intimée n'est manifestement pas disproportionnée. Elle ne saurait non plus être constitutive d'un quelconque formalisme excessif, car il n'apparaît pas qu'elle se fonderait sur des règles dont l'application, dans le cas d'espèce, ne permettrait pas d'en discerner l'intérêt pratique.</w:t>
      </w:r>
    </w:p>
    <w:p>
      <w:r>
        <w:t>- 19/20 - A/1736/2024</w:t>
      </w:r>
    </w:p>
    <w:p>
      <w:r>
        <w:t>C'est donc de manière conforme au droit que l'autorité intimée exige désormais l'obtention d'une permission d'usage accru du domaine public pour la réservation d'une portion du domaine public.</w:t>
      </w:r>
    </w:p>
    <w:p>
      <w:r>
        <w:rPr>
          <w:b/>
        </w:rPr>
        <w:t>E. 37</w:t>
      </w:r>
    </w:p>
    <w:p>
      <w:r>
        <w:t>Mal fondé, le recours est rejeté.</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Vu l’issue du litige, aucune indemnité de procédure ne sera allouée (art. 87 al. 2 LPA).</w:t>
      </w:r>
    </w:p>
    <w:p>
      <w:r>
        <w:t>- 20/20 - A/1736/2024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