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JTAPI/714/2011 vom 20. Juni 2011</w:t>
      </w:r>
    </w:p>
    <w:p>
      <w:r>
        <w:t>GE Cour de justice, 2011-06-20, FR</w:t>
      </w:r>
    </w:p>
    <w:p>
      <w:r>
        <w:rPr>
          <w:b/>
        </w:rPr>
        <w:t xml:space="preserve">Quelle: </w:t>
      </w:r>
      <w:r>
        <w:t>https://mcp.opencaselaw.ch/entscheid/ge_gerichte_JTAPI_714_2011</w:t>
      </w:r>
    </w:p>
    <w:p>
      <w:r>
        <w:t>FR: GE_GERICHTE JTAPI/714/2011 du 20 juin 2011</w:t>
      </w:r>
    </w:p>
    <w:p>
      <w:r>
        <w:t>IT: GE_GERICHTE JTAPI/714/2011 del 20 giugno 2011</w:t>
      </w:r>
    </w:p>
    <w:p>
      <w:pPr>
        <w:pStyle w:val="Heading2"/>
      </w:pPr>
      <w:r>
        <w:t>Erwägungen</w:t>
      </w:r>
    </w:p>
    <w:p>
      <w:r>
        <w:rPr>
          <w:b/>
        </w:rPr>
        <w:t>E. 10</w:t>
      </w:r>
    </w:p>
    <w:p>
      <w:r>
        <w:t>Le 1er février 2008, l'administration a notifié aux contribuables deux bordereaux de rappel d'impôt et deux bordereaux d'amende correspondant à une fois l'impôt éludé. Le rappel de l'ICC 2003 s'élevait à 9'421 fr. 10, avec les intérêts de retard de 818 fr. 20, et le rappel de l'IFD à 3'771 fr. 60, avec les intérêts de retard de 389 fr. 70. Les amendes infligées s'élevaient respectivement à 9'420 fr. et 3'770 fr. L'administration retenait que les contribuables avaient commis une soustraction fiscale par intention.</w:t>
      </w:r>
    </w:p>
    <w:p>
      <w:r>
        <w:rPr>
          <w:b/>
        </w:rPr>
        <w:t>E. 11</w:t>
      </w:r>
    </w:p>
    <w:p>
      <w:r>
        <w:t>Il ressort du dossier que le rappel de l'ICC a été entièrement recouvert par la consignation de l'IBGI versée en avril 2004 et le rappel de l'IFD l'a été à raison de 1'755 fr. 25.</w:t>
      </w:r>
    </w:p>
    <w:p>
      <w:r>
        <w:rPr>
          <w:b/>
        </w:rPr>
        <w:t>E. 12</w:t>
      </w:r>
    </w:p>
    <w:p>
      <w:r>
        <w:t>Le 1er mars 2008, les contribuables ont formé réclamation à l'encontre de ces bordereaux. En premier lieu, ils reprochaient à l'administration de ne pas avoir imputé l'IBGI qu'ils avaient réglé par consignation sur l'ICC et l'IFD dus. Ils ne contestaient pas les rappels de l'ICC et de l'IFD en tant que tels, mais après l'imputation du montant déjà versé à titre de l'IBGI, ils ne devaient à l'administration qu'une somme de 1'328 fr. 55. En outre, ils estimaient ne devoir aucun montant à titre d'intérêt de retard, l'administration ayant encaissé la consignation de 11'990 fr. 40 déjà en avril 2004. Enfin, les contribuables contestaient expressément les deux amendes en soulignant qu'ils n'avaient eu aucune intention de soustraire le revenu concerné à l'impôt, puisqu'ils s'étaient acquittés de l'IBGI déjà en avril 2004.</w:t>
      </w:r>
    </w:p>
    <w:p>
      <w:r>
        <w:rPr>
          <w:b/>
        </w:rPr>
        <w:t>E. 13</w:t>
      </w:r>
    </w:p>
    <w:p>
      <w:r>
        <w:t>Par décisions du 11 mars 2008, l'administration a rejeté la réclamation des contribuables. Elle relevait que ces derniers reconnaissaient que la part du gain relatif à l'immeuble vendu par le contribuable n'avait pas été déclarée dans le cadre de leur taxation ordinaire pour l'année 2003. Le fait que l'IBGI dû avait été consigné ne les dispensait pas de déclarer le gain en cause. Lors de la fixation des bordereaux</w:t>
      </w:r>
    </w:p>
    <w:p>
      <w:r>
        <w:t>- 4/13 - A/1258/2008 rectificatifs du 1er février 2008, le montant de la consignation de l'IBGI s'élevant à 11'990 fr. 40 avait été imputé sur le supplément de 9'421 fr. 10 dû pour l'ICC et l'excédent de 1'755 fr. 25 mis au crédit du bordereau de rappel de l'IFD.</w:t>
      </w:r>
    </w:p>
    <w:p>
      <w:r>
        <w:t>S'agissant des amendes, l'administration relevait que les contribuables avaient enfreint leur devoir de prudence et de sincérité en ne déclarant pas la transaction immobilière par le biais d'un détail complet du prix de revient du bien vendu faisant apparaître en clair, dans leur déclaration d’impôt, le bénéfice ainsi réalisé. Les taxations insuffisantes qui en résultaient devaient dès lors être assimilées à une déclaration inexacte volontaire passible d'une amende. Les amendes fixées à une fois l'impôt soustrait étaient modérées au vu des peines menaces prévues par la loi.</w:t>
      </w:r>
    </w:p>
    <w:p>
      <w:r>
        <w:rPr>
          <w:b/>
        </w:rPr>
        <w:t>E. 14</w:t>
      </w:r>
    </w:p>
    <w:p>
      <w:r>
        <w:t>Par actes du 10 avril 2008, les contribuables ont recouru contre ces décisions. Ils ne comprenaient pas comment on pouvait les accuser de fraude fiscale alors qu'ils avaient versé une consignation d'impôt sur le bénéfice réalisé lors de la vente de l'immeuble. Contrairement à ce que l'administration affirmait dans ses décisions sur réclamation, l'IBGI versé de 11'990 fr. 40 n'avait pas été imputé sur l'ICC et l'IFD dus pour l'année fiscale 2003 à la valeur de son versement, soit au 30 avril 2004, mais à la valeur du 29 janvier 2008. Les recourants ne comprenaient pas comment l'administration pouvait constater qu'ils avaient "enfreint (leur) devoir de prudence et de sincérité en ne déclarant pas cette transaction", alors que sur l’attestation de consignation de l'administration figuraient le prix d’achat du bien, son prix de vente ainsi que les montants retenus pour frais d’acte et frais liés à la mise en valeur du bâtiment et de la parcelle avant la mise en vente. C'était l'administration qui, en date du 26 novembre 2003, avait fixé le bénéfice réalisé et le taux d’imposition à appliquer. L'administration soulignait leur culpabilité, sans jamais mentionner qu'elle avait bien reçu le montant consigné à la vente de l'immeuble. Les contribuables s'interrogeaient par ailleurs sur le fait que les amendes correspondaient à une fois l'impôt soustrait, alors que cet impôt avait été payé par consignation effectuée par l'administration, ceci le jour même de la réalisation du bénéfice sur la vente. En conclusion, les recourants s'engageaient à payer tout complément de l'ICC et de l'IFD 2003 résultant du gain réalisé sur la vente du bien immobilier sis à Y______, compte tenu du montant de l’IBGI retenu par l’administration du 30 avril 2004 au 29 janvier 2008. En revanche, les intérêts de retard calculés par l'administration ainsi que les deux amendes pour soustraction d'impôt devaient être annulés.</w:t>
      </w:r>
    </w:p>
    <w:p>
      <w:r>
        <w:rPr>
          <w:b/>
        </w:rPr>
        <w:t>E. 15</w:t>
      </w:r>
    </w:p>
    <w:p>
      <w:r>
        <w:t>En l'espèce, le recourant admet ne pas avoir été "assez attentif" en omettant de vérifier si sa déclaration était établie de manière complète. Cela étant, il conteste que cette "négligence" puisse entrainer sa condamnation. L'administration, quant à elle, qualifie le comportement du contribuable de faute intentionnelle. La preuve du caractère intentionnel d'une soustraction incombe à l'autorité fiscale. Cette preuve est toutefois facilitée par la présomption selon laquelle celui qui agit avec conscience agit aussi avec volonté. Selon la jurisprudence, la preuve d'un comportement intentionnel doit être considérée comme apportée lorsqu'il est établi de façon suffisamment sûre que le contribuable était conscient que les informations données étaient incorrectes ou incomplètes. Si tel est le cas, il faut présumer qu'il a volontairement voulu tromper les autorités fiscales, ou du moins qu'il a agi par dol éventuel afin d'obtenir une taxation moins élevée ; cette présomption ne se laisse pas facilement renverser, car l'on peine à imaginer quel autre motif pourrait conduire un contribuable à fournir au fisc des informations qu'il sait incorrectes ou incomplètes. Cela est d'autant plus vrai que le contribuable peut compter avec la possibilité que l'autorité fiscale s'en tienne à sa déclaration sans l'examiner de manière plus approfondie. Le contribuable ne peut dès lors échapper aux sanctions en soutenant que l'autorité fiscale aurait pu découvrir à temps les lacunes de la déclaration si elle avait procédé plus tôt aux contrôles appropriés. Ainsi, celui qui déclare un revenu de loin inférieur à son revenu réel a conscience que les indications qu'il donne sont fausses ou incomplètes ; de la sorte, il agit intentionnellement (ATF 2C_336/2010 du 7 octobre 2010, consid. 4.1 et les références citées). La présomption de soustraction par intention ne peut être renversée que dans des situations exceptionnelles, sous peine de vider les obligations légales qui incombent au contribuable en matière fiscale (ATF précité, consid. 4.3).</w:t>
      </w:r>
    </w:p>
    <w:p>
      <w:r>
        <w:rPr>
          <w:b/>
        </w:rPr>
        <w:t>E. 16</w:t>
      </w:r>
    </w:p>
    <w:p>
      <w:r>
        <w:t>En l'espèce, par lettre du 22 mars 2004, l'administration avait spécifiquement annoncé au recourant son obligation de mentionner le gain en cause dans sa déclaration fiscale ordinaire pour l'année 2003.</w:t>
      </w:r>
    </w:p>
    <w:p>
      <w:r>
        <w:t>- 11/13 - A/1258/2008 Dans le cadre de la procédure de rappel d'impôt, le contribuable avait soutenu que son omission était imputable à son mandataire, avançant que celui-ci l'avait informé qu'il n'était pas nécessaire d'indiquer dans la déclaration ordinaire le bénéfice en cause, considérant que l'IBGI consigné constituait un impôt définitif.</w:t>
      </w:r>
    </w:p>
    <w:p>
      <w:r>
        <w:rPr>
          <w:b/>
        </w:rPr>
        <w:t>E. 17</w:t>
      </w:r>
    </w:p>
    <w:p>
      <w:r>
        <w:t>Le fait de confier ses affaires fiscales à un mandataire ne délie pas le contribuable de son devoir de prudence. Le contribuable répond en particulier des erreurs de son auxiliaire qu'il n'instruit pas correctement ou dont il ne contrôle pas l'activité. En particulier, le fait que le contribuable ait obtenu de faux renseignements d'une fiduciaire mandatée par lui ne joue pas de rôle dans la détermination de la négligence (Arch. 73, 482 = RDAF 2003 II 622, 627). Toutefois, lorsque le contribuable qui ne dispose pas de connaissances fiscales particulières choisit un mandataire compétent et lui communique tous les documents et renseignements nécessaires à l'établissement d'une déclaration conforme à la vérité, on ne peut raisonnablement pas lui reprocher de signer sa déclaration sans la contrôler dans les moindres détails. Il y aurait plutôt lieu de déterminer si le contribuable a transmis des documents complets à son mandataire, s'il l'a correctement instruit ou s'il s'est entendu avec lui pour commettre l'infraction fiscale. Cela étant, l'auteur de l'infraction reste le contribuable (Yersin/Noël, Commentaire de la loi sur l'impôt fédéral direct, 2008, ad art. 175 al. 2 LIFD, p. 1500). En l'espèce, même s'il devait être considéré comme établi que seul le mandataire du contribuable a omis d'établir une formule de déclaration fiscale correspondant à la réalité, le recourant demeurerait malgré tout directement responsable de cette omission, notamment dans la mesure où l'administration l'avait dûment informé de l'obligation de mentionner le gain par lettre du 22 mars 2004. En cas de doute, il aurait dû interpeller l’administration et non pas renoncer purement et simplement à déclarer le gain immobilier litigieux. Les circonstances qui permettraient à titre exceptionnel de renverser la présomption que le recourant a agi intentionnellement ne sont donc pas réunies en l'espèce, de sorte que l'infraction de soustraction est réalisée.</w:t>
      </w:r>
    </w:p>
    <w:p>
      <w:r>
        <w:rPr>
          <w:b/>
        </w:rPr>
        <w:t>E. 18</w:t>
      </w:r>
    </w:p>
    <w:p>
      <w:r>
        <w:t>En règle générale, l’amende est fixée au montant de l’impôt soustrait (art. 175 al. 2 LIFD).</w:t>
      </w:r>
    </w:p>
    <w:p>
      <w:r>
        <w:rPr>
          <w:b/>
        </w:rPr>
        <w:t>E. 19</w:t>
      </w:r>
    </w:p>
    <w:p>
      <w:r>
        <w:t>Selon une jurisprudence constante, l'administration jouit d'un large pouvoir d'appréciation pour fixer la quotité d'une amende (A. GRISEL, Traité de droit administratif, Neuchâtel 1984, p. 646-648 ; ATA/632/2001 du 9 octobre 2001). L'autorité de recours ne peut revoir cette quotité qu'en cas d'excès du pouvoir d'appréciation. Elle ne peut pas réduire l'amende sans motifs juridiques déterminés en substituant simplement son pouvoir d'appréciation à celui de l'administration (ATA/410/2007 du 28 août 2007 consid. 20 ; ATA/317/2007 du 12 juin 2007 consid. 7; ATA du 11 mars 2003 cause I. SA).</w:t>
      </w:r>
    </w:p>
    <w:p>
      <w:r>
        <w:t>- 12/13 - A/1258/2008</w:t>
      </w:r>
    </w:p>
    <w:p>
      <w:r>
        <w:rPr>
          <w:b/>
        </w:rPr>
        <w:t>E. 20</w:t>
      </w:r>
    </w:p>
    <w:p>
      <w:r>
        <w:t>L'Administration fédérale des contributions indique, dans sa circulaire n° 21 du 7 avril 1995, qu’il n'est loisible de s'écarter de la sanction prévue en règle générale que pour des considérations touchant à l'appréciation de la culpabilité de l'auteur. La peine ordinaire est donc prononcée lorsque l'acte punissable a été commis intentionnellement, en l'absence de circonstances aggravantes ou de circonstances atténuantes.</w:t>
      </w:r>
    </w:p>
    <w:p>
      <w:r>
        <w:rPr>
          <w:b/>
        </w:rPr>
        <w:t>E. 21</w:t>
      </w:r>
    </w:p>
    <w:p>
      <w:r>
        <w:t>En l'espèce, il est retenu que le contribuable a agi par intention. Aucune circonstance atténuante ne pouvant être retenue, l'administration était légitimée à fixer l'amende à une fois le montant de l'impôt éludé, sans outrepasser son pouvoir d'appréciation. Le principe et la quotité de l'amende seront donc confirmés.</w:t>
      </w:r>
    </w:p>
    <w:p>
      <w:r>
        <w:rPr>
          <w:b/>
        </w:rPr>
        <w:t>E. 22</w:t>
      </w:r>
    </w:p>
    <w:p>
      <w:r>
        <w:t>Le recours sera rejeté en tant qu'il concerne l'IFD.</w:t>
      </w:r>
    </w:p>
    <w:p>
      <w:r>
        <w:rPr>
          <w:b/>
        </w:rPr>
        <w:t>E. 23</w:t>
      </w:r>
    </w:p>
    <w:p>
      <w:r>
        <w:t>En application des articles 144 alinéa 1 LIFD, 52 alinéa 1 LPFisc, 87 alinéa 1 LPA et 1 et 2 du règlement genevois sur les frais, émoluments et indemnités en procédure administrative (RFPA – E 5 10.03), les contribuables, qui succombent partiellement, sont condamnés au paiement d’un émolument s'élevant à 400 fr. Les recourants ayant agi en personne, il ne leur est pas alloué d'indemnité (ATA/164/2005; DCRICC n° 190/2008).</w:t>
      </w:r>
    </w:p>
    <w:p>
      <w:r>
        <w:t>- 13/13 - A/1258/2008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