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JTAPI/712/2025 vom 24. Juni 2025</w:t>
      </w:r>
    </w:p>
    <w:p>
      <w:r>
        <w:t>GE Cour de justice, 2025-06-24, FR</w:t>
      </w:r>
    </w:p>
    <w:p>
      <w:r>
        <w:rPr>
          <w:b/>
        </w:rPr>
        <w:t xml:space="preserve">Quelle: </w:t>
      </w:r>
      <w:r>
        <w:t>https://mcp.opencaselaw.ch/entscheid/ge_gerichte_JTAPI_712_2025</w:t>
      </w:r>
    </w:p>
    <w:p>
      <w:r>
        <w:t>FR: GE_GERICHTE JTAPI/712/2025 du 24 juin 2025</w:t>
      </w:r>
    </w:p>
    <w:p>
      <w:r>
        <w:t>IT: GE_GERICHTE JTAPI/712/2025 del 24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D'emblée, le tribunal relèvera que le fait que la remarque de la recourante s'agissant du silence des autres parties intimées, hormis M. C______ et le département, n'est pas pertinente, dans la mesure où il suffit que l'un des copropriétaires s'oppose à ses arguments pour que persiste l'intérêt à ce que la cause soit tranchée.</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5</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6</w:t>
      </w:r>
    </w:p>
    <w:p>
      <w:r>
        <w:t>Selon le principe de la maxime d'office prévu par l'art. 19 LPA, l'autorité établit les faits d'office sans être limitée par les allégués ou les offres de preuves des parties. Elle réunit les renseignements et procède aux enquêtes nécessaires pour fonder sa décision. Elle apprécie les moyens de preuve des parties (art. 20 LPA). Le principe de l'instruction d'office est toutefois contrebalancé par le devoir de collaboration des parties (art. 22 LPA), qui sont tenues de collaborer à la constatation des faits dans les procédures qu'elles introduisent elles-mêmes, dans celles où elles prennent</w:t>
      </w:r>
    </w:p>
    <w:p>
      <w:r>
        <w:t>- 8/20 - A/2937/2024 des conclusions indépendantes, ainsi que dans les autres cas prévus par la loi. Si l'administré a fait les efforts nécessaires pour collaborer à l'établissement des faits, l'autorité doit entreprendre les recherches que l'on peut raisonnablement exiger d'elle pour élucider la situation de fait. Cela étant, lorsque les preuves font défaut, ou si l'on ne peut exiger de l'autorité qu'elle les recueille, la règle de l'art. 8 CC est applicable : celui qui prétend titrer un droit de l'existence d'un fait, subit les conséquences de l'absence de preuve à cet égard (Thierry TANQUEREL, op. cit., n. 1559 ss, p. 527 s. et les références citées).</w:t>
      </w:r>
    </w:p>
    <w:p>
      <w:r>
        <w:rPr>
          <w:b/>
        </w:rPr>
        <w:t>E. 7</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L’autorité forme librement sa conviction en analysant la force probante des preuves administrées. Cette liberté d’appréciation, qui doit s’exercer dans le cadre de la loi, n’est limitée que par l’interdiction de l’arbitraire.</w:t>
      </w:r>
    </w:p>
    <w:p>
      <w:r>
        <w:rPr>
          <w:b/>
        </w:rPr>
        <w:t>E. 8</w:t>
      </w:r>
    </w:p>
    <w:p>
      <w:r>
        <w:t>En préambule, la recourante sollicite la tenue d'un transport sur place, notamment pour démontrer la perte d'ensoleillement qu'elle allègue.</w:t>
      </w:r>
    </w:p>
    <w:p>
      <w:r>
        <w:rPr>
          <w:b/>
        </w:rPr>
        <w:t>E. 9</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10</w:t>
      </w:r>
    </w:p>
    <w:p>
      <w:r>
        <w:t>En l'occurrence, la recourante perd de vue qu'elle supporte le fardeau de la preuve des faits qu'elle allègue. Si elle estime que la réalisation du projet litigieux lui</w:t>
      </w:r>
    </w:p>
    <w:p>
      <w:r>
        <w:t>- 9/20 - A/2937/2024 causerait une importante perte d'ensoleillement, il lui appartient de faire réaliser une étude examinant cette question par un expert de son choix. En effet, selon la jurisprudence, il appartient à celui qui se prévaut d'une perte d'ensoleillement d'en apporter les éléments probants, notamment par la production de plans ou des projections d'ombres portées (arrêt 1C_582/2012 du 9 juillet 2013 consid. 4.2). La voie d'une mesure d'instruction complémentaire, notamment un transport sur place ou une expertise judiciaire, ne permet pas à un justiciable d'apporter une preuve que celui-ci est à même de produire par lui-même. Au contraire, cette mesure d'instruction vise à permettre à l'autorité judiciaire de trancher une question technique spécifique en cas d'éléments probants divergents. Partant, il ne sera pas fait droit à la mesure d'instruction sollicitée, en soi non obligatoire.</w:t>
      </w:r>
    </w:p>
    <w:p>
      <w:r>
        <w:rPr>
          <w:b/>
        </w:rPr>
        <w:t>E. 11</w:t>
      </w:r>
    </w:p>
    <w:p>
      <w:r>
        <w:t>La recourante fait valoir que l'autorisation de construire litigieuse causerait des inconvénients graves au voisinage au sens de l'art. 14 LCI, en raison de la perte d'ensoleillement due au projet, de l'augmentation du trafic et des nuisances liées à l'exécution du chantier. Elle fait également valoir que le projet violerait l'art. 15 LCI.</w:t>
      </w:r>
    </w:p>
    <w:p>
      <w:r>
        <w:rPr>
          <w:b/>
        </w:rPr>
        <w:t>E. 12</w:t>
      </w:r>
    </w:p>
    <w:p>
      <w:r>
        <w:t>À teneur de l’art. 14 al. 1 LCI, le département peut refuser une autorisation de construire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rPr>
          <w:b/>
        </w:rPr>
        <w:t>E. 13</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références citées).</w:t>
      </w:r>
    </w:p>
    <w:p>
      <w:r>
        <w:rPr>
          <w:b/>
        </w:rPr>
        <w:t>E. 14</w:t>
      </w:r>
    </w:p>
    <w:p>
      <w:r>
        <w:t>Le Tribunal fédéral a déjà eu l’occasion de préciser qu’en s’inspirant de la réglementation existante, une perte d’ensoleillement pour les bâtiments environnants due à une ombre qui recouvre la totalité de l’habitation ou du bien- fonds voisin, de deux heures au maximum, à l’équinoxe ou un jour moyen d’hiver</w:t>
      </w:r>
    </w:p>
    <w:p>
      <w:r>
        <w:t>- 10/20 - A/2937/2024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La chambre administrative a également précisé qu’en l’absence de réglementation cantonale en la matière, un inconvénient grave peut exister au sens de l’art. 14 al. 1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 2002 du 10 décembre 2002). Il convient de noter que cette jurisprudence ne permet de tenir compte des ombres portées que sur les constructions déjà existantes, et non sur les biens-fonds sur lesquels elles se trouvent. Dans leur principe, ces règles jurisprudentielles sont applicables à toutes les zones (ATA/1103/2021 du 19 octobre 2021 consid. 17b et les références citées).</w:t>
      </w:r>
    </w:p>
    <w:p>
      <w:r>
        <w:rPr>
          <w:b/>
        </w:rPr>
        <w:t>E. 15</w:t>
      </w:r>
    </w:p>
    <w:p>
      <w:r>
        <w:t>Dans l’ATA/514/2018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Dans ce cas, il s’agissait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w:t>
      </w:r>
    </w:p>
    <w:p>
      <w:r>
        <w:rPr>
          <w:b/>
        </w:rPr>
        <w:t>E. 16</w:t>
      </w:r>
    </w:p>
    <w:p>
      <w:r>
        <w:t>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w:t>
      </w:r>
    </w:p>
    <w:p>
      <w:r>
        <w:rPr>
          <w:b/>
        </w:rPr>
        <w:t>E. 17</w:t>
      </w:r>
    </w:p>
    <w:p>
      <w:r>
        <w:t>L’art. 14 LCI traite aussi des inconvénients afférents à la circulation, notamment en ce qui concerne le stationnement des véhicules ou la mise en danger des piétons, voire du public (ATF 118 Ia 112), étant relevé que l’accroissement du trafic routier ne crée pas une gêne durable au sens de cette disposition, s’il est raisonnable eu égard à la zone considérée (ATA/285/2021 du 2 mars 2021 consid. 8c ; ATA/259/2020 du 3 mars 2020 consid. 7a).</w:t>
      </w:r>
    </w:p>
    <w:p>
      <w:r>
        <w:rPr>
          <w:b/>
        </w:rPr>
        <w:t>E. 18</w:t>
      </w:r>
    </w:p>
    <w:p>
      <w:r>
        <w:t>Enfin, l’art. 14 LCI vise les nuisances issues ou induites par la construction ou l’installation projetée elle-même et non celles provoquées par les modalités de sa</w:t>
      </w:r>
    </w:p>
    <w:p>
      <w:r>
        <w:t>- 11/20 - A/2937/2024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ATA/521/2010 du 3 août 2010 consid. 5d ; ATA/448/2010 du 29 juin 2010 consid. 6d).</w:t>
      </w:r>
    </w:p>
    <w:p>
      <w:r>
        <w:rPr>
          <w:b/>
        </w:rPr>
        <w:t>E. 19</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et des sites (ci-après : CMNS). Elle tient compte également, le cas échéant, de ceux émis par la commune ou les services compétents du département (al. 2).</w:t>
      </w:r>
    </w:p>
    <w:p>
      <w:r>
        <w:t>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w:t>
      </w:r>
    </w:p>
    <w:p>
      <w:r>
        <w:t>L’art. 15 LCI reconnaît ainsi au département un large pouvoir d'appréciation. Ce dernier n'est limité que par l'excès ou l'abus du pouvoir d'appréciation (ATA/383/2023 du 18 avril 2023 consid. 5.3.1).</w:t>
      </w:r>
    </w:p>
    <w:p>
      <w:r>
        <w:rPr>
          <w:b/>
        </w:rPr>
        <w:t>E. 20</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(ATA/1101/2022 du 1er novembre 2022 consid. 5d et les références citées). Selon une jurisprudence bien établie, l’autorité de recours observe une certaine retenue pour éviter de substituer sa propre appréciation à celle des commissions de préavis pour autant que l’autorité inférieure suive l’avis de celles-ci. Lorsque la</w:t>
      </w:r>
    </w:p>
    <w:p>
      <w:r>
        <w:t>- 12/20 - A/2937/2024 consultation de la CA est imposée par la loi, le préavis de cette commission a un poids certain dans l’appréciation qu’est amenée à effectuer l’autorité de recours.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(ATA/1101/2022 du 1er novembre 2022 consid. 5d et les références citées).</w:t>
      </w:r>
    </w:p>
    <w:p>
      <w:r>
        <w:rPr>
          <w:b/>
        </w:rPr>
        <w:t>E. 21</w:t>
      </w:r>
    </w:p>
    <w:p>
      <w:r>
        <w:t>En l’espèce, il n’est nullement démontré que la perte d’ensoleillement alléguée atteindra les deux heures supplémentaires d’ombrage, ni même qu’elle recouvrira le bâtiment dont la recourante est propriétaire. Le tribunal rappelle à cet égard que le projet se trouve dans une zone permettant la construction projetée, de sorte que les voisins doivent en principe souffrir une diminution d’ensoleillement de leurs parcelles, qui ne peut en l’espèce être qualifiée de grave en l’absence de tout élément probant contraire. Il en va de même des éventuelles nuisances liées à l'augmentation du trafic, laquelle ne peut qu'être qualifiée de modeste puisqu'il ne s'agit que de la création de quatre logements supplémentaires dans un quartier connaissant déjà un fort trafic routier, comme l'allègue la recourante elle-même. De plus, l’intérêt public à la construction contestée, qui permettra de mettre sur le marché locatif genevois de nouveaux logements en plein centre-ville, doit l’emporter sur les nuisances qui seraient à déplorer. De plus, le projet litigieux est conforme à l’affectation de la zone et il a été préavisé favorablement par l’ensemble des instances de préavis consultées, notamment par la CA et l'OCT. Il n'en va pas différemment de l'art. 15 LCI, dès lors que l'avis du département se fonde sur les préavis favorables de la commune et de la CA et que la recourante ne parvient pas à démontrer que ces instances auraient analysé le projet sur la base d'éléments dépourvus de pertinence ou négligeant des facteurs décisifs. En particulier, dans son dernier préavis favorable, après avoir requis des modifications du projet, notamment en lien avec le I______, la CA n'a émis aucune réserve concernant une quelconque incompatibilité du projet avec le caractère, l'harmonie et l'aménagement du quartier ni avec les inconvénients pour le voisinage. Il découle de ce qui précède que les griefs tirés de la violation des art. 14 al. 1 et 15 LCI doivent être écartés. Pour le surplus, la question des nuisances relatives au chantier relève de l’exécution de l’autorisation de construire, de sorte qu’elle échappe au pouvoir d’examen du tribunal. Il en va de même des potentielles conséquences sous l'angle du droit civil, notamment les possibles demandes de baisse de loyer ou d'indemnité de la part des locataires de la recourante.</w:t>
      </w:r>
    </w:p>
    <w:p>
      <w:r>
        <w:rPr>
          <w:b/>
        </w:rPr>
        <w:t>E. 22</w:t>
      </w:r>
    </w:p>
    <w:p>
      <w:r>
        <w:t>La recourante prétend que la décision querellée violerait l'art. 23 LCI au motif que le bâtiment concerné par le projet n'était pas identifié comme susceptible d'être surélevé, alors que d'autres bâtiments voisins le sont.</w:t>
      </w:r>
    </w:p>
    <w:p>
      <w:r>
        <w:t>- 13/20 - A/2937/2024</w:t>
      </w:r>
    </w:p>
    <w:p>
      <w:r>
        <w:rPr>
          <w:b/>
        </w:rPr>
        <w:t>E. 23</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LCI).</w:t>
      </w:r>
    </w:p>
    <w:p>
      <w:r>
        <w:rPr>
          <w:b/>
        </w:rPr>
        <w:t>E. 24</w:t>
      </w:r>
    </w:p>
    <w:p>
      <w:r>
        <w:t>Le gabarit de hauteur de l’immeuble projeté, situé en 2ème zone, est réglé par les art. 22 ss LCI.</w:t>
      </w:r>
    </w:p>
    <w:p>
      <w:r>
        <w:rPr>
          <w:b/>
        </w:rPr>
        <w:t>E. 25</w:t>
      </w:r>
    </w:p>
    <w:p>
      <w:r>
        <w:t>En deuxième zone de construction, l’art. 23 LCI fixe le gabarit de hauteur des constructions : à front ou en retrait des voies publiques ou privées, la hauteur du gabarit ne peut dépasser de plus de 3 m la distance fixée entre alignements (H ≤ D + 3) (al. 1). Par rapport aux limites de propriétés privées, la hauteur du gabarit est calculée conformément à l'art. 25 al. 1 LCI (H ≤ 2D + 3) (al. 2). Afin de permettre la construction de logements supplémentaires, le département peut autoriser une augmentation de la hauteur du gabarit, à condition que celle-ci ne compromette pas l'harmonie urbanistique de la rue ; il est notamment tenu compte du gabarit des immeubles voisins (al. 3). Après consultation de la commune et de la CMNS, le département établit des cartes indicatives, par quartier, des immeubles susceptibles d'être surélevés. La délivrance d'une autorisation en application de l'alinéa 3 est subordonnée à l'adoption par le Conseil d'Etat de la carte applicable à l'immeuble concerné (art. 23 al. 4 LCI). À front ou en retrait des voies publiques ou privées, la hauteur du gabarit ne peut toutefois pas dépasser de plus de 6 m la distance fixée entre alignements (H ≤ D + 6). La hauteur du gabarit est calculée, par rapport aux limites de propriétés privées, conformément à l'art. 25 al. 2 LCI (H ≤ 2D + 6) (al. 5). La hauteur de la ligne verticale du gabarit ne peut dépasser nulle part 24 m (H ≤ 24). Afin de permettre la construction de logements supplémentaires au sens des al. 3 à 5, la hauteur de la ligne verticale du gabarit ne peut dépasser nulle part 30 m (H ≤ 30) (al. 6).</w:t>
      </w:r>
    </w:p>
    <w:p>
      <w:r>
        <w:rPr>
          <w:b/>
        </w:rPr>
        <w:t>E. 26</w:t>
      </w:r>
    </w:p>
    <w:p>
      <w:r>
        <w:t>S'agissant des cartes indicatives des immeubles susceptibles de faire l'objet d'une surélévation, sur la base des travaux préparatoires de la disposition légale qui les institue (art. 23 al. 1 LCI), elles n'empêchent pas de surélever les immeubles qui ne sont pas mentionnés sur ces cartes, pas plus qu'elles n'impliquent nécessairement la possibilité de surélever des immeubles lorsqu'au contraire ils y sont mentionnés, mais qu'il s'avère que les conditions légales d'une surélévation ne sont pas réunies. En outre, quand bien même ces cartes n'ont qu'une valeur indicative, aucune surélévation ne pourra être réalisée avant que le Conseil d'Etat n'ait adopté la carte applicable à l'immeuble concerné (MGC 2006-2007/XI A - 9982).</w:t>
      </w:r>
    </w:p>
    <w:p>
      <w:r>
        <w:rPr>
          <w:b/>
        </w:rPr>
        <w:t>E. 27</w:t>
      </w:r>
    </w:p>
    <w:p>
      <w:r>
        <w:t>En l'espèce, l'absence de mention de l'immeuble concerné sur la carte indicative des immeubles susceptibles d'être surélevés, conformément à la jurisprudence mentionnée ci-dessus, n'est pas déterminant et ne saurait conduire à l'annulation de l'autorisation de construire litigieuse, notamment en cas de préavis favorables des instances compétentes, comme c'est le cas en l'espèce.</w:t>
      </w:r>
    </w:p>
    <w:p>
      <w:r>
        <w:t>Le grief sera écarté.</w:t>
      </w:r>
    </w:p>
    <w:p>
      <w:r>
        <w:t>- 14/20 - A/2937/2024</w:t>
      </w:r>
    </w:p>
    <w:p>
      <w:r>
        <w:rPr>
          <w:b/>
        </w:rPr>
        <w:t>E. 28</w:t>
      </w:r>
    </w:p>
    <w:p>
      <w:r>
        <w:t>La recourante considère que le département aurait commis un excès négatif de son pouvoir d'appréciation en suivant l'avis de la CA concernant l'octroi de la dérogation de l'art. 11 al. 6 LCI, et que le dernier préavis de cette dernière ne serait pas suffisamment motivé.</w:t>
      </w:r>
    </w:p>
    <w:p>
      <w:r>
        <w:rPr>
          <w:b/>
        </w:rPr>
        <w:t>E. 29</w:t>
      </w:r>
    </w:p>
    <w:p>
      <w:r>
        <w:t>À titre préliminaire, il convient de rappeler que si l’art. 23 LCI règle les dimensions du gabarit de hauteur des immeubles sis en deuxième zone de construction, les dispositions de l’art. 11 LCI restent cependant applicables au sens de l’art. 23 al. 7 LCI (arrêt du Tribunal fédéral 1C_635/2012 du 5 décembre 2013 consid. 4.2).</w:t>
      </w:r>
    </w:p>
    <w:p>
      <w:r>
        <w:rPr>
          <w:b/>
        </w:rPr>
        <w:t>E. 30</w:t>
      </w:r>
    </w:p>
    <w:p>
      <w:r>
        <w:t>L’art. 11 LCI permet de déroger, à certaines conditions, aux prescriptions relatives aux gabarits applicables dans la zone concernée. Dans ces circonstances, même si un projet litigieux devait contrevenir aux règles concernant la hauteur du gabarit, il n’est pas arbitraire de considérer que celui-ci pourrait néanmoins être autorisé pour autant qu’il satisfasse aux conditions d’octroi d’une dérogation au sens de l’art. 11 LCI (arrêt du Tribunal fédéral 1C_362/2011 du 14 février 2012 consid. 5.5).</w:t>
      </w:r>
    </w:p>
    <w:p>
      <w:r>
        <w:rPr>
          <w:b/>
        </w:rPr>
        <w:t>E. 31</w:t>
      </w:r>
    </w:p>
    <w:p>
      <w:r>
        <w:t>En vertu de l’art. 11 al. 6 LCI, le département peut autoriser, afin de permettre des solutions architecturales particulières et améliorer l’insertion dans le site et après consultation de la CA, l’application de gabarits différents sur les faces d’une construction.</w:t>
      </w:r>
    </w:p>
    <w:p>
      <w:r>
        <w:rPr>
          <w:b/>
        </w:rPr>
        <w:t>E. 32</w:t>
      </w:r>
    </w:p>
    <w:p>
      <w:r>
        <w:t>Lorsque la loi autorise l’autorité administrative à déroger à l’une de ses dispositions, notamment en ce qui concerne les constructions admises dans une zone, elle confère à cette autorité un pouvoir d’appréciation qui n’est limité que par l’excès ou l’abus, le tribunal n’ayant pas compétence pour apprécier l’opportunité des décisions prises (art. 61 al. 2 LPA ; ATA/1101/2022 du 1er novembre 2022 consid. 5e et les références citées).</w:t>
      </w:r>
    </w:p>
    <w:p>
      <w:r>
        <w:rPr>
          <w:b/>
        </w:rPr>
        <w:t>E. 33</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(ATA/1101/2022 du 1er novembre 2022 consid. 5e et les références citées).</w:t>
      </w:r>
    </w:p>
    <w:p>
      <w:r>
        <w:t>- 15/20 - A/2937/2024</w:t>
      </w:r>
    </w:p>
    <w:p>
      <w:r>
        <w:rPr>
          <w:b/>
        </w:rPr>
        <w:t>E. 34</w:t>
      </w:r>
    </w:p>
    <w:p>
      <w:r>
        <w:t>La délivrance d’autorisations de construire demeure de la compétence exclusive du département, à qui il appartient de statuer en tenant compte de tous les intérêts en présence (ATA/1101/2022 du 1er novembre 2022 consid. 5d et les références citées).</w:t>
      </w:r>
    </w:p>
    <w:p>
      <w:r>
        <w:rPr>
          <w:b/>
        </w:rPr>
        <w:t>E. 35</w:t>
      </w:r>
    </w:p>
    <w:p>
      <w:r>
        <w:t>La CA est consultée par le département lorsqu’il doit se prononcer sur l’octroi d’une dérogation au gabarit, tels que définis par les art. 22 ss LCI, lorsque l’immeuble se trouve en 2ème zone de construction (art. 11 al. 4 LCI et art. 23 al. 7 LCI). Selon l’art. 4 al. 1 de la loi sur les commissions d’urbanisme et d’architecture du 24 février 1961 (LCUA - L 1 55) auquel renvoie la dernière phrase de l’art. 11 al. 4 LCI, la CA n’est plus consultée lorsque le projet fait l’objet d’un préavis de la CMNS (art. 4 al. 1 LCUA).</w:t>
      </w:r>
    </w:p>
    <w:p>
      <w:r>
        <w:rPr>
          <w:b/>
        </w:rPr>
        <w:t>E. 36</w:t>
      </w:r>
    </w:p>
    <w:p>
      <w:r>
        <w:t>La méthode dite « ABCD » proposée dans les directives intitulées « Surélévation d’immeubles de logements » (ci-après : directives surélévation), éditées par le département le 26 septembre 2016 et validées par le Canton et la Ville de Genève, s’adresse aux services et commissions concernés, afin qu’ils puissent évaluer les projets dans le cadre d’une approche commune, raisonnée et documentée, en tenant compte des différents enjeux inhérents à toute surélévation d’un immeuble (urbanistique, patrimoniaux, légaux, etc.), de façon à argumenter les préavis de manière plus circonstanciée. Elle s’adresse également aux requérants et à leurs mandataires, pour lesquels elle constitue un utile manuel d’analyse, lequel sera susceptible de les guider efficacement lors de l’élaboration de leur projet. Par ailleurs, elle leur permettra d’avoir une connaissance préalable précise de la manière dont leurs requêtes seront examinées par les différentes instances chargées de les préaviser (directives surélévation, p. 2 ; ATA/514/2018 du 29 mai 2018 consid. 7). Les directives surélévation prévoient qu’à partir de mi-2016, les commissions concernées (CA et CMNS), ainsi que les services de l’administration cantonale et communale appliquent la méthode ABCD lors de l’instruction des requêtes en autorisation de construire portant sur des surélévations d’immeubles de logements.</w:t>
      </w:r>
    </w:p>
    <w:p>
      <w:r>
        <w:rPr>
          <w:b/>
        </w:rPr>
        <w:t>E. 37</w:t>
      </w:r>
    </w:p>
    <w:p>
      <w:r>
        <w:t>Ladite méthode [A (= le quartier), B (= les groupes d’immeubles - le plein), C (= l’espace public / privé - le vide), D (= l’immeuble)] vise à réintégrer une dimension urbaine dans l’évaluation de projets de surélévation, à travers une trame de critères invoqués selon des échelles progressives d’approche. A. En premier lieu, il s’agit de reconnaître l’appartenance à un quartier et d’identifier les conditions morphologiques propres au tissu urbain. L’analyse réalisée à l’échelle du quartier vise à évaluer les caractères favorables et défavorables des conditions du tissu urbain et à définir le caractère générique ou spécifique de l’objet dans son environnement, définissant d’ores et déjà une posture préalable (directives surélévation, p. 4) ; B. Le point de vue des « groupes d’immeubles » vise à identifier une entité urbaine restreinte à laquelle l’objet considéré est rattaché. Il recouvre plusieurs formes</w:t>
      </w:r>
    </w:p>
    <w:p>
      <w:r>
        <w:t>- 16/20 - A/2937/2024 d’agencement spatial par lequel un bâtiment s’associe à d’autres, la manifestation la plus immédiate et courante étant l’îlot traditionnel. Cette étape consiste d’abord à définir si la surélévation de l’immeuble concerné prétérite la cohérence de l’îlot ou du groupe d’immeubles. Le cas échéant, une réflexion plus large devrait être préconisée pour en déduire le bien-fondé de l’intervention. Cette échelle implique d’identifier les caractéristiques du construit participant à la solidarité de ses parties constitutives, par exemple une unité de langage architectural, un type régulier de couronnement, un alignement des niveaux d’étages et un règne des corniches (directives surélévation, p. 5) ; C. L’espace public est l’espace perceptif réel de la ville et comporte une dimension scénique qu’une surélévation modifie. Les changements d’alignement induisent par effet direct une augmentation du potentiel de construction en hauteur telle que le décrochement en plan entraîne une fragmentation en élévation. Il s’agit alors de questionner la pertinence d’une construction à atteindre son gabarit légal, si cette opération compromet l’ordre de la rue. Il s’agit d’observer, d’une part, la physionomie de la rue, qualifiée par l’homogénéité ou l’hétérogénéité des constructions qui la bordent et, d’autre part, la géométrie des cours. Ces constats devraient suggérer une attitude à adopter quant à la volumétrie et aux conditions d’ensoleillement de l’espace public / privé (directives surélévation, p. 6). D. L’échelle de l’immeuble invoque quant à elle la question de la composition, de l’expression architecturale et de l’habitabilité des typologies mises en œuvre. Les attitudes sont diverses et souvent hybrides entre deux positions extrêmes (en mimétisme, par la poursuite à l’identique des caractères en place, ou en rupture, par l’intervention d’un tout autre langage). S’il est illusoire de prédéfinir des règles de composition, chaque cas devrait néanmoins poser la question du degré de continuité nécessaire de la nouvelle construction avec l’existant, pour éviter des réponses caricaturales. Les caractères ordinaires ou singuliers de la situation dans un quartier, l’appartenance à un ensemble et l’identification des caractères symptomatiques de cette appartenance, ainsi que le statut de la surélévation par rapport à l’espace public référent auront permis de relever des traits déterminants qui dessinent les grandes lignes de la syntaxe architecturale. Il s’agit ainsi d’évaluer la justesse d’un parti pris par rapport à une posture que la progression des critères aura permis de préciser (directives surélévation, p. 7).</w:t>
      </w:r>
    </w:p>
    <w:p>
      <w:r>
        <w:rPr>
          <w:b/>
        </w:rPr>
        <w:t>E. 38</w:t>
      </w:r>
    </w:p>
    <w:p>
      <w:r>
        <w:t>Ces critères ne constituent toutefois pas une méthode unilatérale, au sens où elle produirait mécaniquement un résultat, mais proposent un questionnement selon une appréhension de la ville à plusieurs échelles, qui relève les aspects à observer, de façon à assurer l’adéquation d’une surélévation à un contexte global et local (directive surélévation p. 3 ; cf. ATA/514/2018 du 29 mai 2018 consid. 7). En tant que directives d’application des dispositions légales en cause, ces critères systématisent l’application des dispositions concernées et précisent notamment les documents à fournir, telles des maquettes d’études, pour que l’examen par les</w:t>
      </w:r>
    </w:p>
    <w:p>
      <w:r>
        <w:t>- 17/20 - A/2937/2024 commissions de préavis et services soit facilité (directives surélévation, p. 8 ; cf. ATA/514/2018 du 29 mai 2018 consid. 7).</w:t>
      </w:r>
    </w:p>
    <w:p>
      <w:r>
        <w:rPr>
          <w:b/>
        </w:rPr>
        <w:t>E. 39</w:t>
      </w:r>
    </w:p>
    <w:p>
      <w:r>
        <w:t>Ces directives ne sont fondamentalement pas nouvelles, dans la mesure où elles se situent dans la continuité du travail de la CA qui, depuis décembre 2012, s’était munie d’un protocole, qui retenait déjà que l’analyse des demandes de surélévation devait se faire sur l’ensemble de la rue et la possibilité ou non de surélévation des immeubles proches. Ledit protocole prévoyait notamment la prise de connaissance de représentation 3D (maquette ou photomontage), des cartes indicatives des immeubles susceptibles d’être surélevés, ainsi que des vues aériennes du système d’information sur le territoire genevois. Dans ce document, il était indiqué que la CA avait fait la demande, auprès de la direction des autorisations de construire, d’obtenir la documentation suivante : dessins de gabarits, reportage photographique/photomontage ou maquette, élévation de la rue entière, et, élévations avec l’amorce des façades des immeubles voisins (ATA/514/2018 du 29 mai 2018 consid. 7).</w:t>
      </w:r>
    </w:p>
    <w:p>
      <w:r>
        <w:rPr>
          <w:b/>
        </w:rPr>
        <w:t>E. 40</w:t>
      </w:r>
    </w:p>
    <w:p>
      <w:r>
        <w:t>La jurisprudence relative aux préavis de la CA retient qu’un préavis favorable n’a en principe pas besoin d’être motivé (ATA/665/2023 du 20 juin 2023 consid. 4.9 ; ATA/414/2017 du 11 avril 2017 consid. 7b confirmé par l’arrêt du Tribunal fédéral 1C_297/2017 du 6 décembre 2017 consid. 3.4.2), même si une motivation plus explicite puisse être requise lorsque, par exemple, l’augmentation de la hauteur du gabarit légal est trop importante (ATA/824/2013 du 17 décembre 2013 consid. 5). Par ailleurs, le tribunal retient que l’art. 11 al. 6 LCI n’oblige pas la CA à motiver ses préavis sous l’angle des multiples critères d’après lesquels il est possible d’analyser l’intégration d’un projet dans son environnement, sauf à rendre son travail excessivement lourd, voire à paralyser son fonctionnement.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(cf. JTAPI/861/2023 du 17 août 2023 consid. 17 ; JTAPI/542/2022 du 24 mai 2022 consid. 23 et les références citées).</w:t>
      </w:r>
    </w:p>
    <w:p>
      <w:r>
        <w:rPr>
          <w:b/>
        </w:rPr>
        <w:t>E. 41</w:t>
      </w:r>
    </w:p>
    <w:p>
      <w:r>
        <w:t>En l'espèce, il découle de l’instruction du projet querellé qu’après un examen des circonstances du cas d’espèce sur la base d’un dossier documenté, la CA notamment, a validé le principe de la surélévation du bâtiment et s’est déclarée favorable à l’octroi d’une légère dérogation au sens de l’art. 11 al. 6 LCI, après trois précédents préavis sollicitant des modifications du projet et l'apport de pièces complémentaires, notamment s'agissant de l'octroi de la dérogation selon l'art. 11 al. 6 LCI. En outre, les dérogations demandées, clairement indiquées sur les plans du projet, sont modestes, et ne sont pas, en tant que telles, critiquées par la recourante.</w:t>
      </w:r>
    </w:p>
    <w:p>
      <w:r>
        <w:t>- 18/20 - A/2937/2024 La lecture des éléments du dossier ne permet pas de retenir que la CA aurait procédé à une analyse inappropriée ou lacunaire du projet. Son avis n'est manifestement pas fondé sur des éléments dépourvus de pertinence ou négligeant des facteurs décisifs, ou encore, n'est pas guidée par une appréciation insoutenable des circonstances, que ce soit dans son approche ou dans son résultat. En particulier, dans son dernier préavis, après avoir sollicité des modifications du projet, la CA a expressément relevé que le projet répondait aux remarques émises dans ses précédents préavis, raison pour laquelle l'application de l'art. 11 al. 6 LCI notamment était acceptée. Si son dernier préavis n'est certes pas motivé en détail, cela ne signifie pas que la CA, suivie par le département, n'aurait pas examiné de manière complète et circonstanciée les critères d'octroi de l'autorisation et en particulier l'intégration du bâtiment projeté dans le quartier. Au demeurant, la recourante n'apporte aucun élément concret qui permettrait de remettre en cause cette appréciation. Dans ces conditions, on ne saurait admettre que le département n'aurait pas fait usage de son pouvoir d'appréciation en suivant notamment l'avis favorable de la CA, soit l'instance compétente en la matière et désignée expressément pas la loi pour l'octroi d'une dérogation au sens de l'art. 11 al. 6 LCI. Au surplus, on ne saurait également reproché au département un usage excessif ou abusif de son pouvoir d’appréciation en forgeant sa décision sur la base de tous les préavis favorables récoltés pendant l’instruction du dossier, en particulier les préavis successifs de la CA, pour octroyer la dérogation contestée, étant rappelé que lorsque le législateur a conféré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En définitive, la recourante entend avant tout substituer sa propre appréciation à celle du département. Le fait que celui-ci - et avant lui la CA - ait procédé à une appréciation différente de la sienne ne permet pas de retenir qu’il se serait fondé sur des critères et considérations dénués de pertinence et étrangers au but visé par la disposition précitée, en particulier sur des critères dérogeant aux lignes directrices énoncées dans les directives de surélévation, étant au demeurant rappelé que celles- ci n’ont pas force de loi. Dès lors, le tribunal, qui doit faire preuve de retenue et respecter la latitude de jugement conférée à cette dernière, ne saurait en corriger le résultat en fonction d’une autre conception, même si celle-ci n’est en soi pas dénuée de pertinence, sauf à statuer en opportunité, ce que la loi lui interdit de faire (art. 61 al. 2 LPA). Par conséquent, il appert que le département n'a pas excédé ou abusé du pouvoir d'appréciation conféré par l'art. 11 al. 6 LCI en délivrant l'autorisation querellée sur la base, notamment, du préavis favorable de la CA, lequel n'avait pas besoin d'être motivé compte tenu de l'ensemble de l'instruction effectuée par cette instance. Le grief est ainsi écarté.</w:t>
      </w:r>
    </w:p>
    <w:p>
      <w:r>
        <w:t>- 19/20 - A/2937/2024</w:t>
      </w:r>
    </w:p>
    <w:p>
      <w:r>
        <w:rPr>
          <w:b/>
        </w:rPr>
        <w:t>E. 42</w:t>
      </w:r>
    </w:p>
    <w:p>
      <w:r>
        <w:t>Entièrement mal fondé, le recours est rejeté.</w:t>
      </w:r>
    </w:p>
    <w:p>
      <w:r>
        <w:rPr>
          <w:b/>
        </w:rPr>
        <w:t>E. 43</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rPr>
          <w:b/>
        </w:rPr>
        <w:t>E. 44</w:t>
      </w:r>
    </w:p>
    <w:p>
      <w:r>
        <w:t>Vu l'issue du litige, une indemnité de procédure de CHF 1'500.-, à la charge de la recourante, sera allouée à M. C______ (art. 87 al. 2 à 4 LPA et 6 RFPA).</w:t>
      </w:r>
    </w:p>
    <w:p>
      <w:r>
        <w:t>- 20/20 - A/2937/2024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