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JTAPI/710/2025 vom 24. Juni 2025</w:t>
      </w:r>
    </w:p>
    <w:p>
      <w:r>
        <w:t>GE Cour de justice, 2025-06-24, FR</w:t>
      </w:r>
    </w:p>
    <w:p>
      <w:r>
        <w:rPr>
          <w:b/>
        </w:rPr>
        <w:t xml:space="preserve">Quelle: </w:t>
      </w:r>
      <w:r>
        <w:t>https://mcp.opencaselaw.ch/entscheid/ge_gerichte_JTAPI_710_2025</w:t>
      </w:r>
    </w:p>
    <w:p>
      <w:r>
        <w:t>FR: GE_GERICHTE JTAPI/710/2025 du 24 juin 2025</w:t>
      </w:r>
    </w:p>
    <w:p>
      <w:r>
        <w:t>IT: GE_GERICHTE JTAPI/710/2025 del 24 giugno 2025</w:t>
      </w:r>
    </w:p>
    <w:p>
      <w:pPr>
        <w:pStyle w:val="Heading2"/>
      </w:pPr>
      <w:r>
        <w:t>Erwägungen</w:t>
      </w:r>
    </w:p>
    <w:p>
      <w:r>
        <w:rPr>
          <w:b/>
        </w:rPr>
        <w:t>E. 7</w:t>
      </w:r>
    </w:p>
    <w:p>
      <w:r>
        <w:t>Par acte du 10 janvier 2025, Mme A______, sous la plume de son conseil, a formé recours contre la décision précitée auprès du Tribunal administratif de première instance (ci-après : le tribunal), concluant à son annulation, sous suite de frais et dépens. Depuis 2024, son vœu de pouvoir rejoindre son mari à E______ (France) avait été abandonné et elle continuait d'occuper personnellement le logement, de sorte qu'il n'était plus loué depuis l'interpellation de l'OCLPF. Elle avait uniquement accepté de mettre à disposition gratuitement l'une des deux chambres de son appartement pour héberger le fils d'un ami de longue date. Elle ne contestait pas le principe de l'amende, puisqu'elle avait effectivement mis en location son appartement pour de courtes périodes excédant la limite légale entre 2021 et 2023.</w:t>
      </w:r>
    </w:p>
    <w:p>
      <w:r>
        <w:t>- 4/13 - A/134/2025 Elle contestait cependant son montant, lequel était excessif et disproportionné. La circonstance aggravante du gain substantiel traduisait la vision de l'autorité intimée selon laquelle elle aurait fait preuve de cupidité. Aucune disposition légale n'imposait la fixation d'un loyer durant la durée des 90 jours autorisés selon l'art. 4A RDTR. Entre 2021 et 2023, particulièrement en 2022, elle avait été accaparée par des soucis familiaux l'obligeant à se rendre au chevet de son père malade à Neuchâtel pour seconder sa mère durant toute cette période jusqu'au décès de ce dernier en janvier 2023. En parallèle, elle devait gérer le départ de son mari pour E______ (France) sans pouvoir se déterminer si elle allait ou non l'y suivre plus tard et organiser le départ de son fils à ______ (France). Durant cette période, ce n'était pas la cupidité qui l'avait nourri, mais un débordement affectif et émotionnel qui avait remis en arrière-plan toute autre considération matérielle. Durant les années 2018 à 2020, alors que sa situation familiale était stable, elle n'avait pas dépassé la durée maximale autorisée. L'autorité intimée semblait s'être focalisée sur les seuls revenus obtenus, sans mettre dans la balance la situation qu'elle avait traversé durant la période d'infraction. En outre, elle avait fait preuve de transparence totale avec l'OCLPF, en lui remettant l'intégralité des documents demandés sans tenter de minimiser le revenu obtenu. Elle avait entièrement collaboré et n'avait jamais eu d'intention délictuelle, de sorte que seule une négligence pourrait être retenue. L'infraction portait sur un seul logement qui constituait depuis 2017 son logement principal et la réaffectation en logement était aisée. Par ailleurs, elle n'avait pas récidivé et n'avait pas d'antécédent. Le montant de l'amende devait ainsi être réduit pour tenir compte des circonstances atténuantes que l'autorité intimée n'avait pas prises en compte. Il fallait également tenir compte du fait qu'entre son courrier du 6 décembre 2023 et la décision querellée du 22 novembre 2024, elle n'avait plus eu aucune nouvelle de l'autorité intimée, ce qui l'avait amenée à penser que ses arguments avaient été entendus. Enfin, le montant était totalement disproportionné au regard des amendes prononcées dans d'autres cas où la collaboration de la partie avait été mauvaise, même devant l'autorité de recours, où la faute grave avait été retenue et où l'infraction portait sur plusieurs appartements avec un appât du gain flagrant. Le montant de l'amende devrait se situer entre CHF 1'500.- et CHF 3'000.-</w:t>
      </w:r>
    </w:p>
    <w:p>
      <w:r>
        <w:rPr>
          <w:b/>
        </w:rPr>
        <w:t>E. 8</w:t>
      </w:r>
    </w:p>
    <w:p>
      <w:r>
        <w:t>Le 17 mars 2025, le département a transmis ses observations, accompagnées de son dossier. Il a conclu au rejet du recours, sous suite de frais. Prenant en considération le fait que l'appartement de la recourante avait été mis en location sur une plateforme internet à de nombreuses reprises pendant une période dépassant largement la limite des 90 jours de l'art. 4 RDTR, et cela pendant trois années consécutives, et vu le gain qui s'en était résulté, d'un montant de plus de CHF 40'000.-, l'amende prononcée était pleinement justifiée.</w:t>
      </w:r>
    </w:p>
    <w:p>
      <w:r>
        <w:rPr>
          <w:b/>
        </w:rPr>
        <w:t>E. 9</w:t>
      </w:r>
    </w:p>
    <w:p>
      <w:r>
        <w:t>Le 26 mars 2025, la recourante a informé le tribunal qu'elle n'entendait pas formuler de réplique.</w:t>
      </w:r>
    </w:p>
    <w:p>
      <w:r>
        <w:t>- 5/13 - A/134/2025</w:t>
      </w:r>
    </w:p>
    <w:p>
      <w:r>
        <w:rPr>
          <w:b/>
        </w:rPr>
        <w:t>E. 10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11</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w:t>
      </w:r>
    </w:p>
    <w:p>
      <w:r>
        <w:t>- 7/13 - A/134/2025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13</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14</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15</w:t>
      </w:r>
    </w:p>
    <w:p>
      <w:r>
        <w:t>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de la LDTR. La cupidité est définie comme le trait de caractère 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(ATF 101 IV 134, ATF 94 IV 100 et les références). Il est donc admis que la cupidité va au-delà du simple dessein d'enrichissement ou de se procurer un avantage; elle ne saurait non plus être</w:t>
      </w:r>
    </w:p>
    <w:p>
      <w:r>
        <w:t>- 8/13 - A/134/2025 confondue avec le souci de l'intérêt personnel (ATF 101 IV 134, ATF 94 IV 100). Dans un arrêt du 7 mars 2023, le Tribunal fédéral a retenu que la circonstance aggravante de la cupidité était en l'occurrence réalisée au vu de l'ampleur des montants perçus abusivement (CHF 212'501.50), du nombre de locataires touchés (treize) et du nombre d'années durant lesquelles la recourante avait accepté une situation qu'elle savait illégale (trois ans), tout en confirmant l'amende administrative de CHF 100'000.- prononcée à son égard, précisant que ce montant correspondait à la moitié des montants indument encaissés (1C_264/2022, consid. 3.4).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w:t>
      </w:r>
    </w:p>
    <w:p>
      <w:r>
        <w:t>Si les antécédents constituent une circonstance aggravante, l’absence d’antécédents est une circonstance neutre qui n’a pas l’effet de minorer la sanction (ATA/174/2023 précité consid. 2.2.2). La chambre administrative a également indiqué que le dépôt d'une demande d'autorisation de construire à la suite d'un ordre du département est une obligation et non une faculté laissée au bon vouloir des administrés et qu'une bonne collaboration est attendue, dans la mesure où elle est nécessaire au traitement efficace d'un dossier, ce qui amène à relativiser la portée de ces circonstances atténuantes (ATA/1334/2023 du 12 décembre 2023 consid. 12.8).</w:t>
      </w:r>
    </w:p>
    <w:p>
      <w:r>
        <w:rPr>
          <w:b/>
        </w:rPr>
        <w:t>E. 16</w:t>
      </w:r>
    </w:p>
    <w:p>
      <w:r>
        <w:t>En l'espèce, la recourante ne conteste pas le principe de l'amende et reconnait avoir violé l'art. 4A RDTR en mettant en location son appartement sur des périodes dépassant 90 jours entre 2021 et 2023. Elle reconnait ainsi sa faute. Elle conteste en revanche le montant de l'amende, de sorte que l'examen du tribunal se limitera à cet aspect de la sanction. En l'occurrence, si le tribunal ne minimise pas l'impact des évènements personnels vécus par la recourante et s'il est incontestable qu'elle a fait preuve de collaboration avec l'autorité intimée, n'a pas d'antécédents et que la situation ne porte que sur un seul logement, il ne faut cependant pas oublier que l'autorité intimée a été mise devant le fait accompli et que c'est uniquement suite à l'interpellation de l'OCLPF que la recourante a mis fin à la mise en location de l'appartement sur la plateforme C______ et ainsi à la situation litigieuse. En outre, si elle prétend que l'agence ne lui aurait pas rendu régulièrement compte de l'activité et lui aurait versé les loyers de manière irrégulière, il ne faut pas perdre de vue que la recourante répond des actes de son mandataire. Par ailleurs, la violation de l'art. 4A RDTR qui lui est reproché porte sur trois années consécutives. Selon le décompte de l'agence produit, il appert clairement que la recourante a mis en location son appartement sur la plateforme C______ 108 nuits en 2021, soit 18 nuits de plus qu'autorisé, 218 nuits en 2022, soit 128 nuits de plus qu'autorisé et 109 nuits en 2023, soit 19 nuits de plus qu'autorisé, alors qu'elle connaissait l'existence de cette limite légale. Sur</w:t>
      </w:r>
    </w:p>
    <w:p>
      <w:r>
        <w:t>- 9/13 - A/134/2025 l'ensemble des trois années litigieuses, elle a réalisé un gain total (avec déduction des frais d'agence et de location) de plus de CHF 134'000.-, soit CHF 28'934.- en 2021, CHF 68'634.- en 2022 et CHF 36'444.- en 2023. En appliquant à chacun de ces montants la proportion de dépassement de la limite de 90 jours autorisés par l'art. 4A RDTR, on arrive à un montant total de gain réalisé hors des limites légales de CHF 49'030.- sur les trois années cumulées. Elle a ainsi réalisé un gain substantiel en violation de la loi. Il y a dès lors lieu d'effectuer une appréciation d'ensemble de la situation. Objectivement, la mise en location du logement sur une durée excédant 90 jours, sur trois années consécutives a engendré un gain substantiel d'approximativement CHF 49'000.-. Cet état de fait revêt en soi une certaine gravité compte tenu de l'intérêt public au maintien du parc locatif poursuivi par l'art. 4A RDTR et du fait accompli devant lequel le département a été mis. La faute de la recourante apparaît ainsi importante, en raison de la réalisation de deux des circonstances aggravantes énoncées à l'art. 137 al. 3 LCI. Ceci étant dit, il ressort de la motivation de la décision litigieuse et des observations du département que le montant de l'amende a été fixé uniquement en fonction du gain substantiel réalisé sur la période de trois ans. Or, si l'absence d'antécédents constitue certes à elle-seule une circonstance neutre, le fait que la recourante ait immédiatement mis fin à la situation illicite, qu'elle ait fait preuve d'une transparence ainsi que d'une collaboration totale et qu'elle ait répondu à pleine satisfaction et dans les meilleurs délais aux demandes du département tendent à démontrer une absence de volonté délictuelle de sa part, élément qui n'a manifestement pas été pris en considération par le département. Par ailleurs, il ne faut pas perdre de vue que si la recourante a certes réalisé un gain substantiel, elle ne s'est toutefois pas enrichie au détriment d'une tierce personne, à l'instar d'un trop- perçu de loyer obtenu par un bailleur suite à la réalisation de travaux non-autorisés. À cela s'ajoute que l'importance de la culpabilité d'une personne à l'origine d'une infraction ne saurait être déterminée uniquement sur la base du gain obtenu en l'absence d'autres éléments permettant d'y déceler la réalisation de la circonstance aggravante de la cupidité, comme en l'espèce, dès lors qu'il s'agit à l'évidence d'un évènement unique en raison d'une négligence de la part de la recourante, laquelle ne s'est manifestement pas montrée particulièrement avide d'avantage. En outre, dans l'arrêt 1C_264/2022 précité (consid. 3.4), le montant de l'amende a été fixée à près de la moitié du gain réalisé sans droit, alors que la volonté délictuelle et l'aggravante de la cupidité ont été retenues. Ainsi, dans la présente cause, le montant de l'amende administrative ne saurait ainsi être fixé à hauteur de près de 80 % du montant indument encaissé, uniquement en raison de l'importance de celui-ci, en l'absence de volonté délictuelle et de réalisation de l'aggravante de la cupidité. Au vu des éléments précités et compte tenu des circonstances particulières du cas d'espèce, bien que la recourante n'ait pas fait état de difficultés patrimoniales particulières, alors qu'elle s'est exprimée par écrit sur le montant de l'amende, le</w:t>
      </w:r>
    </w:p>
    <w:p>
      <w:r>
        <w:t>- 10/13 - A/134/2025 tribunal de céans considère que si une sanction pouvait certes être infligée à la recourante pour avoir mis en location son appartement sur la plateforme C______ en dépassant la durée maximale autorisée de 90 jours durant trois années consécutives, réalisant ainsi un gain substantiel, le département a toutefois abusé de son pouvoir d'appréciation en infligeant une amende d'un montant de CHF 39'000.- en ne prenant pas en compte l'absence d'antécédents, de volonté délictuelle et de cupidité de la recourante, de même que la transparence et la collaboration totale de la recourante qui a mis fin à la situation illicite immédiatement. Le montant de l'amende de CHF 39'000.- sera ainsi ramené à CHF 10'000.-, montant qui tient mieux compte de l'ensemble des circonstances tout en sanctionnant de manière proportionnée la faute de la recourante.</w:t>
      </w:r>
    </w:p>
    <w:p>
      <w:r>
        <w:rPr>
          <w:b/>
        </w:rPr>
        <w:t>E. 17</w:t>
      </w:r>
    </w:p>
    <w:p>
      <w:r>
        <w:t>La recourante fait également valoir que le délai écoulé entre le dernier courrier du 6 décembre 2023 de l'OCLPF et le prononcé de la décision querellée le 22 novembre 2024 l'avait amené à penser que ses arguments avaient été entendus par le département. Elle se prévaut ainsi implicitement d'une violation de la bonne foi. En outre, elle se prévaut également d'une violation du principe d'égalité de traitement en comparant sa situation à celle d'autres administrés ayant écopé d'amendes administratives pour des cas où une faute grave avait été retenue, avec un appât du gain flagrant et un défaut de collaboration.</w:t>
      </w:r>
    </w:p>
    <w:p>
      <w:r>
        <w:rPr>
          <w:b/>
        </w:rPr>
        <w:t>E. 18</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 6.2 ; arrêts du Tribunal fédéral 1C_626/2019 du 8 octobre 2020 consid. 3.1 ; 2C_136/2018 du 24 septembre 2018 consid. 3.2). 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w:t>
      </w:r>
    </w:p>
    <w:p>
      <w:r>
        <w:t>- 11/13 - A/134/2025 constructeur à édifier un bâtiment, pourrait obliger cette autorité à tolérer ensuite l’ouvrage en question (ATA/610/2017 du 30 mai 2017 consid. 7d ; ATA/303/2016 du 12 avril 2016 consid. 6c ; ATA/19/2016 du 12 janvier 2016 consid. 7b).</w:t>
      </w:r>
    </w:p>
    <w:p>
      <w:r>
        <w:rPr>
          <w:b/>
        </w:rPr>
        <w:t>E. 19</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et les références citées).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w:t>
      </w:r>
    </w:p>
    <w:p>
      <w:r>
        <w:rPr>
          <w:b/>
        </w:rPr>
        <w:t>E. 20</w:t>
      </w:r>
    </w:p>
    <w:p>
      <w:r>
        <w:t>En l'espèce, il n’apparaît pas que l’autorité intimée aurait suscité d’une quelconque façon des expectatives qu’il se justifierait de protéger sous l’angle de la bonne foi, en particulier une absence de sanction. En effet, la recourante n'ignorait pas que la situation était passible d'une sanction, ce qui lui a notamment été indiqué dans le courrier de l'OCLPF du 6 décembre 2023. Si elle estimait le délai de traitement de son dossier trop long ou son issue incertaine, il lui était loisible de solliciter des informations complémentaires à ce sujet auprès du département, dans le cadre de la diligence attendue de tout administré se sachant visé par une procédure d'infraction, ce qu'elle n'a pas fait. Sous l'angle de l'égalité de traitement, les situations dont se prévaut la recourante ne sont pas similaires à la sienne, comme elle l'admet elle-même en évoquant des situations notamment avec une absence de collaboration et avec un appât de gain flagrant, ce qui justifie déjà un traitement différent de sa situation. En outre, les exemples qu'elle cite ne concernent pas la même typologie d'infractions et n'ont pas la même portée financière. En effet, si l'ATA 1______ du ______ 2023 qu'elle cite porte sur une infraction à la LDTR, il s'agissait de la réalisation non-autorisée de travaux soumis à autorisation de construire, avec pour conséquence un trop-perçu sur les loyers à hauteur de CHF 15'000.- sur plusieurs années. L'ATA 2______ du ______ 2024 porte lui sur une infraction à la loi sur la prostitution du 17 décembre 2009 (LProst - I 2 49) et aux manquements liés à la responsabilité du responsable de l'agence en cause. À cela s'ajoute que contrairement à ce que soutient la</w:t>
      </w:r>
    </w:p>
    <w:p>
      <w:r>
        <w:t>- 12/13 - A/134/2025 recourante, des amendes bien plus élevées que CHF 3'000.- ont été prononcées. Ainsi, le Tribunal fédéral a confirmé une amende de CHF 10'000.- par arrêt du ______ (1C 3______) contre un propriétaire ayant rénové sans autorisation un appartement de son immeuble, une amende de CHF 100'000.- le ______ 2023 (1C 4______) contre un propriétaire ayant rénové plusieurs appartements sans APA retenant la cupidité et la récidive, et pour lesquels il a dû rembourser CHF 212'501.- aux locataires, et une amende de CHF 15'000.- le ______ 2023 (1C_5______) contre l’architecte d’un propriétaire pour les travaux effectués sans autorisation retenant comme critères notamment sa qualité de professionnel du domaine et de récidiviste.</w:t>
      </w:r>
    </w:p>
    <w:p>
      <w:r>
        <w:rPr>
          <w:b/>
        </w:rPr>
        <w:t>E. 21</w:t>
      </w:r>
    </w:p>
    <w:p>
      <w:r>
        <w:t>En conclusion, il n'apparait pas que la décision querellée violerait les principes de la bonne foi ou d'égalité de traitement. Les griefs sont rejetés.</w:t>
      </w:r>
    </w:p>
    <w:p>
      <w:r>
        <w:rPr>
          <w:b/>
        </w:rPr>
        <w:t>E. 22</w:t>
      </w:r>
    </w:p>
    <w:p>
      <w:r>
        <w:t>Il résulte de ce qui précède que le recours sera partiellement admis.</w:t>
      </w:r>
    </w:p>
    <w:p>
      <w:r>
        <w:rPr>
          <w:b/>
        </w:rPr>
        <w:t>E. 23</w:t>
      </w:r>
    </w:p>
    <w:p>
      <w:r>
        <w:t>Vu cette issue, un émolument réduit de CHF 600.- sera mis à la charge de la recourante dès lors qu'elle n'obtient que partiellement gain de cause (art. 87 al. 1 LPA et 1 et 2 du règlement sur les frais, émoluments et indemnités en procédure administrative du 30 juillet 1986 - RFPA - E 5 10.03). Il est couvert par l'avance de frais. Le solde de l'avance de frais lui sera restitué.</w:t>
      </w:r>
    </w:p>
    <w:p>
      <w:r>
        <w:rPr>
          <w:b/>
        </w:rPr>
        <w:t>E. 24</w:t>
      </w:r>
    </w:p>
    <w:p>
      <w:r>
        <w:t>Une indemnité de procédure de CHF 500.-, à la charge de l'autorité intimée, sera par ailleurs allouée à la recourante (art. 87 al. 2 LPA et 6 du règlement sur les frais, émoluments et indemnités en procédure administrative du 30 juillet 1986 - RFPA - E 5 10.03).</w:t>
      </w:r>
    </w:p>
    <w:p>
      <w:r>
        <w:t>- 13/13 - A/134/2025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