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JTAPI/708/2024 vom 16. Juli 2024</w:t>
      </w:r>
    </w:p>
    <w:p>
      <w:r>
        <w:t>GE Cour de justice, 2024-07-16, FR</w:t>
      </w:r>
    </w:p>
    <w:p>
      <w:r>
        <w:rPr>
          <w:b/>
        </w:rPr>
        <w:t xml:space="preserve">Quelle: </w:t>
      </w:r>
      <w:r>
        <w:t>https://mcp.opencaselaw.ch/entscheid/ge_gerichte_JTAPI_708_2024</w:t>
      </w:r>
    </w:p>
    <w:p>
      <w:r>
        <w:t>FR: GE_GERICHTE JTAPI/708/2024 du 16 juillet 2024</w:t>
      </w:r>
    </w:p>
    <w:p>
      <w:r>
        <w:t>IT: GE_GERICHTE JTAPI/708/2024 del 16 luglio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t>- 5/7 - A/2363/2024</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11 juillet 2024,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question de la légalité de la détention de M. A______ a déjà été tranchée par le tribunal dans son jugement du 25 avril 2024 (JTAPI/382/2024) et elle a été confirmée par la chambre administrative (ATA/606/2024 précité) puis lors de l’examen de la demande de prolongation de ladite détention, par JTAPI/923/2022 du 14 mai 2024 et ATA/682/2024 du 5 juin 2024. En l’absence de changements de circonstance, elle ne peut qu’être confirmée dans son principe. En outre, l’assurance du départ effectif de M. A______ répond toujours à un intérêt public et aucune autre mesure moins incisive ne peut être envisagée pour garantir sa présence jusqu’à l’exécution de son refoulement, ce d’autant plus qu’il se déclare toujours fermement opposé à un quelconque retour dans son pays.</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7</w:t>
      </w:r>
    </w:p>
    <w:p>
      <w:r>
        <w:t>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w:t>
      </w:r>
    </w:p>
    <w:p>
      <w:r>
        <w:t>- 6/7 - A/2363/2024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w:t>
      </w:r>
    </w:p>
    <w:p>
      <w:r>
        <w:rPr>
          <w:b/>
        </w:rPr>
        <w:t>E. 11</w:t>
      </w:r>
    </w:p>
    <w:p>
      <w:r>
        <w:t>En l'espèce, concernant les démarches entreprises par les autorités en vue d’exécuter le renvoi de M. A______, elles continuent d’être effectuées avec diligence et célérité puisque l’intéressé est inscrit sur le prochain vol spécial à destination du Burkina Faso, lequel est prévu dans le courant de l'été 2024. A ce stade, aucun élément du dossier ne permet de douter de sa concrétisation. Enfin, M. A______ est détenu administrativement depuis le 23 avril 2024, de sorte que la durée de la détention administrative admissible en vertu de l'art. 79 LEI n'est de loin pas atteinte. Elle ne le serait pas non plus à l'issue de la prolongation de trois mois sollicitée par l'OCPM, étant observé, au demeurant, que compte tenu de l'absence de coopération constatée de l’intéressé, sa détention pourrait se prolonger jusqu'à dix-huit mois en application de l'art. 79 al. 2 let. a LEI. Cela étant, la nécessité d’une prolongation de la détention de trois mois n’apparait pas nécessaire ni proportionnée en l’occurrence, au vu des éléments du dossier.</w:t>
      </w:r>
    </w:p>
    <w:p>
      <w:r>
        <w:rPr>
          <w:b/>
        </w:rPr>
        <w:t>E. 12</w:t>
      </w:r>
    </w:p>
    <w:p>
      <w:r>
        <w:t>Au vu de ce qui précède, la demande de prolongation de la détention administrative de M. A______ sera admise mais pour une durée de deux mois, soit jusqu'au 23 septembre 2024.</w:t>
      </w:r>
    </w:p>
    <w:p>
      <w:r>
        <w:rPr>
          <w:b/>
        </w:rPr>
        <w:t>E. 13</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- 7/7 - A/2363/2024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