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JTAPI/707/2025 vom 26. Juni 2025</w:t>
      </w:r>
    </w:p>
    <w:p>
      <w:r>
        <w:t>GE Cour de justice, 2025-06-26, FR</w:t>
      </w:r>
    </w:p>
    <w:p>
      <w:r>
        <w:rPr>
          <w:b/>
        </w:rPr>
        <w:t xml:space="preserve">Quelle: </w:t>
      </w:r>
      <w:r>
        <w:t>https://mcp.opencaselaw.ch/entscheid/ge_gerichte_JTAPI_707_2025</w:t>
      </w:r>
    </w:p>
    <w:p>
      <w:r>
        <w:t>FR: GE_GERICHTE JTAPI/707/2025 du 26 juin 2025</w:t>
      </w:r>
    </w:p>
    <w:p>
      <w:r>
        <w:t>IT: GE_GERICHTE JTAPI/707/2025 del 26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t>- 12/20 - A/2993/2023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2.2</w:t>
      </w:r>
    </w:p>
    <w:p>
      <w:r>
        <w:t>; 1C_170/2011 du 18 août 2011 consid. 3.2 et les références citées ; ATA/99/2020 du 28 janvier 2020 consid. 5b). Il appartient ainsi à l'administré d'établir les faits qui sont de nature à lui procurer un avantage, spécialement lorsqu'il s'agit d'élucider des faits qu'il est le mieux à même de connaître, notamment parce qu'ils ont trait spécifiquement à sa situation personnelle (ATA/471/2022 du 3 mai 2022 consid. 3d et référence citée), et à l'administration de démontrer l'existence de ceux qui imposent une obligation en sa faveur (ATA/978/2019 du 4 juin 2019 consid. 4a ; ATA/1155/2018 du 30 octobre 2018 consid. 3b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en application de l’art. 19 LPA et que s’il ne peut pas aller au-delà des conclusions des parties, il n’est lié ni par les motifs invoqués par celles-ci (art. 69 al. 1 LPA), ni par leur argumentation juridique (ATA/84/2022 du 1er février 2022 consid. 3).</w:t>
      </w:r>
    </w:p>
    <w:p>
      <w:r>
        <w:rPr>
          <w:b/>
        </w:rPr>
        <w:t>E. 4.4</w:t>
      </w:r>
    </w:p>
    <w:p>
      <w:r>
        <w:t>et la référence citée).</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6</w:t>
      </w:r>
    </w:p>
    <w:p>
      <w:r>
        <w:t>En l’espèce, à la lecture des arguments de la recourante, le tribunal retiendra que seul est contesté l’ordre du département de rétablir une situation conforme au droit en procédant à la mise en location ordinaire des logements loués (229) en tant que résidences meublées, la recourante indiquant dans ses écritures du 25 novembre 2024 que pour les autre volets du dossier, il était logique qu’ils n’aient pas fait</w:t>
      </w:r>
    </w:p>
    <w:p>
      <w:r>
        <w:t>- 13/20 - A/2993/2023 l’objet d’une instruction puisque le département procédera à cette instruction une fois les APA nécessaires déposées.</w:t>
      </w:r>
    </w:p>
    <w:p>
      <w:r>
        <w:rPr>
          <w:b/>
        </w:rPr>
        <w:t>E. 7</w:t>
      </w:r>
    </w:p>
    <w:p>
      <w:r>
        <w:t>La recourante reproche à l’autorité une violation de la maxime inquisitoire, estimant que cette dernière ne s’était pas livrée à une instruction sérieuse du dossier et que les éléments retenus ne permettaient de conclure qu’il existait bel et bien un changement d’affectation illicite des 229 appartements concernés par la décision querellée. Elle a précisé, dans ses écritures du 17 février 2025, ne pas estimer que son droit d’être entendu avait été violé.</w:t>
      </w:r>
    </w:p>
    <w:p>
      <w:r>
        <w:rPr>
          <w:b/>
        </w:rPr>
        <w:t>E. 8</w:t>
      </w:r>
    </w:p>
    <w:p>
      <w:r>
        <w:t>La procédure administrative est régie par la maxime inquisitoire, selon laquelle l’autorité établit les faits d’office, sans être limitée par les allégués et les offres de preuves des parties (art. 19 LPA).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Cette maxime n’est toutefois pas absolue ; sa portée est restreinte par le devoir des parties de collaborer à la constatation des faits (art. 22 LPA). Ce devoir comprend en particulier l'obligation des parties d'apporter, dans la mesure où on peut raisonnablement l'exiger d'elles, les preuves commandées par la nature du litige et des faits invoqués, faute de quoi elles risquent de devoir supporter les conséquences de l'absence de preuves (ATF 130 II 425 consid. 6.6 ; arrêts du Tribunal fédéral 1C_454/2017 du 16 mai 2018 consid. 4.1 ; ATA/1138/2023 du 17 octobre 2023 consid. 4.3 et l'arrêt cité).</w:t>
      </w:r>
    </w:p>
    <w:p>
      <w:r>
        <w:rPr>
          <w:b/>
        </w:rPr>
        <w:t>E. 9</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w:t>
      </w:r>
    </w:p>
    <w:p>
      <w:r>
        <w:rPr>
          <w:b/>
        </w:rPr>
        <w:t>E. 10</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1C_2/2020 du 13 mai 2020 consid. 3.1 ; ATA/978/2019 du 4 juin 2019 consid. 4b). Le juge forme ainsi librement sa conviction en analysant la force probante des preuves administrées et ce n'est ni le genre, ni le nombre de celles-ci qui est déterminant, mais leur force de persuasion (ATA/978/2019 du 4 juin 2019 consid. 4b et les arrêts cités), aucun moyen de</w:t>
      </w:r>
    </w:p>
    <w:p>
      <w:r>
        <w:t>- 14/20 - A/2993/2023 preuve ne s'imposant à lui (cf. not. arrêts du Tribunal fédéral 6B_58/2017 du 21 août 2017 consid. 2.1 ; 6B_564/2013 du 22 avril 2014 consid. 2.3).</w:t>
      </w:r>
    </w:p>
    <w:p>
      <w:r>
        <w:rPr>
          <w:b/>
        </w:rPr>
        <w:t>E. 11</w:t>
      </w:r>
    </w:p>
    <w:p>
      <w:r>
        <w:t>En l’espèce, à la lecture des pièces du dossier et des écritures des parties, le tribunal estime que le département a procédé à une instruction sérieuse et minutieuse du dossier avant de rendre sa décision. En effet, dès le moment où le département a constaté que des logements en résidence meublée étaient proposés sur le site Internet de la recourante, début 2017, il a interpellé cette dernière par courrier du 14 février 2017. S’en sont suivis des échanges entre le département et la recourante, laquelle a produit un certain nombre de pièces à la demande du département. Contrairement aux affirmations de la recourante, ce dernier a procédé à une visite des cinq immeubles entre mars et mai 2019, en présence notamment de M. G______, suite à laquelle elle a sollicité la production de pièces complémentaires, notamment par courrier du 13 novembre 2019 – pièces qui n’ont été remises finalement que le 12 novembre 2020. Il ressort également du dossier que diverses rencontres ont eu lieu entre les parties, ce que la recourante reconnait dans ses écritures, de même que le fait que le département, au terme de l’instruction, était notamment en possession de douze classeurs fédéraux de pièces qu’elle avait produits. Le département a également pris connaissance de la procédure qui s’est déroulée devant la CS et qui a abouti à la décision du 28 juin 2018. Fort de tous ces éléments et se fondant sur les pièces du dossiers, l’autorité a considéré que la recourante avait procédé à un changement d’affectation illicite des 229 appartements et rendu la décision querellée. Au vu de ce qui précède, le tribunal arrive à la conclusion qu’aucune violation de la maxime inquisitoire ne peut être retenue et ce premier grief sera dès lors rejeté.</w:t>
      </w:r>
    </w:p>
    <w:p>
      <w:r>
        <w:rPr>
          <w:b/>
        </w:rPr>
        <w:t>E. 12</w:t>
      </w:r>
    </w:p>
    <w:p>
      <w:r>
        <w:t>Reste à déterminer si c’est à juste titre que le département a ordonné à la recourante de rétablir une situation conforme au droit en procédant à la mise en location de l’ensemble des logements (229) situés dans les immeubles, non meublés et sans service hôtelier.</w:t>
      </w:r>
    </w:p>
    <w:p>
      <w:r>
        <w:rPr>
          <w:b/>
        </w:rPr>
        <w:t>E. 13</w:t>
      </w:r>
    </w:p>
    <w:p>
      <w:r>
        <w:t>La LDTR a pour but de préserver l'habitat et les conditions de vie existants ainsi que le caractère actuel de l'habitat dans les zones visées à son article 2 (art. 1 al. 1 LDTR). À cet effet, et tout en assurant la protection des locataires et des propriétaires d'appartements, elle prévoit notamment des restrictions à la démolition, à la transformation et au changement d'affectation des maisons d'habitation (al. 2).</w:t>
      </w:r>
    </w:p>
    <w:p>
      <w:r>
        <w:rPr>
          <w:b/>
        </w:rPr>
        <w:t>E. 14</w:t>
      </w:r>
    </w:p>
    <w:p>
      <w:r>
        <w:t>Par changement d'affectation, on entend toute modification, même en l'absence de travaux, qui a pour effet de remplacer des locaux à destination de logements par des locaux à usage commercial, administratif, artisanal ou industriel (art. 3 al. 1 LDTR). Sont également assimilés à des changements d'affectation le remplacement de locaux à destination de logements par des résidences meublées ou des hôtels (art. 3 al. 3 let. a LDTR). Sous réserve de l'art. 3 al. 4, nul ne peut, sauf si une dérogation</w:t>
      </w:r>
    </w:p>
    <w:p>
      <w:r>
        <w:t>- 15/20 - A/2993/2023 lui est accordée au sens de l'art. 8, changer l'affectation de tout ou partie d'un bâtiment au sens de l'art. 2 al. 1, occupé ou inoccupé (art. 7 LDTR).</w:t>
      </w:r>
    </w:p>
    <w:p>
      <w:r>
        <w:rPr>
          <w:b/>
        </w:rPr>
        <w:t>E. 15</w:t>
      </w:r>
    </w:p>
    <w:p>
      <w:r>
        <w:t>Selon l'art. 4 al. 1 RDTR, à l'exclusion des chambres meublées isolées, la résidence meublée est un logement qui est loué meublé à des fins commerciales dans une maison d'habitation. L'autorisation de remplacer des locaux à destination de logements par une résidence meublée est limitée à la durée maximum de dix ans; elle est renouvelable (art. 4 al. 3 RDTR).</w:t>
      </w:r>
    </w:p>
    <w:p>
      <w:r>
        <w:rPr>
          <w:b/>
        </w:rPr>
        <w:t>E. 16</w:t>
      </w:r>
    </w:p>
    <w:p>
      <w:r>
        <w:t>La différence entre la location de logements et l'exploitation d'une résidence meublée ou d'un hôtel réside notamment dans la mise à disposition par l'exploitant, dans le second cas, d'un certain nombre de services, tels que nettoyage des chambres, réception centrale téléphonique, literie, téléphone dans les chambres, service de repas, etc. Les résidences meublées sont des établissements hébergeant principalement des hôtes en studios ou en appartements meublés. Leur exploitation est soumise à autorisation comme l'est celle des hôtels (GAIDE/DÉFAGO GAUDIN, La LDTR: Démolition, transformation, rénovation, changement d'affectation et aliénation: immeubles de logement et appartements: loi genevoise et panorama des autres lois cantonales, 2014, p. 348).</w:t>
      </w:r>
    </w:p>
    <w:p>
      <w:r>
        <w:rPr>
          <w:b/>
        </w:rPr>
        <w:t>E. 17</w:t>
      </w:r>
    </w:p>
    <w:p>
      <w:r>
        <w:t>Selon la jurisprudence cantonale, des services de nettoyage ou de ménage ne suffisent pas à eux seuls à qualifier de « résidences meublées » des chambres d'habitation, en particulier lorsque celles-ci ne sont pas louées sur une base journalière mais au moyen de baux d'habitation. De telles prestations ne relèvent pas spécifiquement de l'hôtellerie, même si elles peuvent constituer un indice dans l'appréciation du caractère commercial et hôtelier de l'activité déployée. Si aucun service hôtelier n'est rendu et qu'en outre les baux d'une certaine durée ont été conclus avec les occupants des locaux, on se trouve en présence de logements meublés et non de résidences meublées ou d'hôtels (GAIDE/DÉFAGO GAUDIN, op. cit., p. 348 et 349 et les références citées).</w:t>
      </w:r>
    </w:p>
    <w:p>
      <w:r>
        <w:rPr>
          <w:b/>
        </w:rPr>
        <w:t>E. 18</w:t>
      </w:r>
    </w:p>
    <w:p>
      <w:r>
        <w:t>Dans un arrêt rendu dans une affaire récente (arrêt 1C_235/2023 du 11 mars 2024, consid. 5.4 et 5.5), le Tribunal fédéral a confirmé la position de la chambre administrative de la Cour de Justice qui avaient retenu l’existence de nombreux indices permettant de considérer que les six logements visés par la décision litigieuse étaient exploités en tant que résidences meublées, au sens de la LDTR. La chambre administrative avait notamment mis en évidence les éléments suivants : la présence de porte-savons, de produits cosmétiques, de serviettes, de linges et de papier hygiénique, de même marque et identiques dans tous les logements visités ainsi que la présence à l'étage d'un chariot de recharge de ces produits, accompagné d'un sac de linge sale ; six boîtes aux lettres de l'immeuble qui ne comportaient aucun nom, ce qui indiquait que les personnes ayant utilisé les locaux l'avaient fait de manière brève et temporaire et ne les avaient d'ailleurs a priori pas donnés comme adresse de correspondance ; la durée des séjours, telle qu'elle ressortait de la trentaine de contrats fournis, qui était très inférieure à celle des baux usuels (pour vingt-et-un d'entre eux inférieures ou égales à trente-et-un jours, le plus court séjour</w:t>
      </w:r>
    </w:p>
    <w:p>
      <w:r>
        <w:t>- 16/20 - A/2993/2023 étant de sept jours) ; les contrats produits étaient rédigés en anglais, tout comme les conditions générales qui les accompagnaient, et ils contenaient des éléments qui ne correspondaient pas à ceux d'un contrat usuel de bail mais bien plus à ceux d'une réservation de type hôtelière (prix de location par nuitée, les modalités de paiement n'étaient pas celles d'un loyer, notamment par l'absence de garantie de loyer); les quatre baux qui ne concernaient pas les six logements litigieux étaient complètement différents, dès lors qu’ils étaient rédigés selon la formule usuelle dans le canton, en français et accompagnés d'un avis de fixation du loyer en bonne et due forme. Le Tribunal fédéral a jugé que trois éléments suffisaient à démontrer que les logements en cause devaient être qualifiés de résidences meublées. D'abord, le critère de la durée des séjours, telle qu'elle ressortait des contrats précités, suffisait comme indice de bail de courte durée. Le fait que certains baux avaient duré plus d'un mois voire une année ne rendait pas insoutenable l'appréciation de la cour cantonale. Ensuite, le prix de la location donné par nuitée (et variable), auquel s’ajoutait l'absence de versement de garantie de loyer, l'absence d'avis de fixation du loyer obligatoire selon le droit cantonal genevois et la rédaction du contrat en anglais. Enfin, sur six boîtes à lettres ne figurait aucun nom. Le recourant n’avait pas apporté la preuve que ces six boîtes à lettres ne correspondraient pas aux six appartements en question et il n’avait pas non plus expliqué les raisons d'une telle absence sur ces six boîtes à lettres ni en quoi cet indice contredirait l'affectation de résidences meublées. En réalité, le recourant se contentait de substituer sa propre appréciation des faits à celle de la cour cantonale, sans démontrer l'arbitraire du raisonnement conduit.</w:t>
      </w:r>
    </w:p>
    <w:p>
      <w:r>
        <w:rPr>
          <w:b/>
        </w:rPr>
        <w:t>E. 19</w:t>
      </w:r>
    </w:p>
    <w:p>
      <w:r>
        <w:t>Selon l'art. 129 al. 1 let. e LCI, dans les limites des dispositions de l’art. 130, le département peut notamment ordonner, à l’égard des constructions, des installations ou d’autres choses l’interdiction d’utiliser ou d’exploiter (let. d) et la remise en état, la réparation, la modification, la suppression ou la démolition (let. 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w:t>
      </w:r>
    </w:p>
    <w:p>
      <w:r>
        <w:rPr>
          <w:b/>
        </w:rPr>
        <w:t>E. 20</w:t>
      </w:r>
    </w:p>
    <w:p>
      <w:r>
        <w:t>L'art. 131 LCI prévoit que les propriétaires ou leurs mandataires, les entrepreneurs et les usagers sont tenus de se conformer aux mesures ordonnées par le département en application des articles 129 et 130 LCI.</w:t>
      </w:r>
    </w:p>
    <w:p>
      <w:r>
        <w:rPr>
          <w:b/>
        </w:rPr>
        <w:t>E. 21</w:t>
      </w:r>
    </w:p>
    <w:p>
      <w:r>
        <w:t>Garanti par l'art. 29 al. 2 de la Constitution fédérale de la Confédération suisse du 18 avril 1999 (Cst. - RS 101), le droit d'être entendu, pour l'autorité, l'obligation de motiver sa décision (cf. art. 46 al. 1 LPA). Selon la jurisprudence, il suffit que celle- ci mentionne, au moins brièvement, les motifs qui l'ont guidé et sur lesquels elle a fondé sa décision, de manière à ce que son destinataire puisse se rendre compte de la portée de celle-ci et l'attaquer en connaissance de cause. L'autorité n'a pas l'obligation d'exposer et de discuter tous les faits, moyens de preuve et griefs</w:t>
      </w:r>
    </w:p>
    <w:p>
      <w:r>
        <w:t>- 17/20 - A/2993/2023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w:t>
      </w:r>
    </w:p>
    <w:p>
      <w:r>
        <w:rPr>
          <w:b/>
        </w:rPr>
        <w:t>E. 22</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(ATA/773/2024 du 25 juin 2024 consid.</w:t>
      </w:r>
    </w:p>
    <w:p>
      <w:r>
        <w:rPr>
          <w:b/>
        </w:rPr>
        <w:t>E. 23</w:t>
      </w:r>
    </w:p>
    <w:p>
      <w:r>
        <w:t>En l’espèce, le département fait référence aux visites sur place datées de mars à avril 2019, à l’analyse du service LDTR et aux pièces versées au dossier pour fonder sa décision. Ces pièces ont été transmises au tribunal dans le cadre de la présente procédure et ont toujours été à la disposition de la recourante. Il ressort de la décision de la CS du 28 juin 2018 que dans les cinq immeubles propriété de A______ SA, des contrats relatifs à des hébergements meublés étaient conclus pour des périodes allant de trois jours à plusieurs mois. Des frais administratifs étaient facturés en sus ainsi que des frais de blanchisserie pour la literie et autres éléments utilisés. Certains contrats prévoyaient l’inclusion dans le loyer, en sus des charges et de l’électricité, de la redevance TV et des frais de nettoyage final. Des lits supplémentaires, à la demande du client, étaient fournis. Les contrats comportaient ainsi des prestations typiques du contrat d’hôtellerie. M. G______ a quant à lui reconnu lors de son audition devant la CS que sa société, H______ SA, qui pratiquait la résidence hôtelière depuis plus de 50 ans, gérait les cinq immeubles comportant notamment 229 appartements meublés et offrait des prestations accessoires aux clients comme l’exécution de commissions, l’achat de billets de spectacles ou le lavage de voitures ; il y avait également un service de réception centralisé comprenant un concierge. Il y avait en moyenne une centaine d’entrées et de sorties par semaine et l’état de lieux pouvait être fait le week-end et</w:t>
      </w:r>
    </w:p>
    <w:p>
      <w:r>
        <w:t>- 18/20 - A/2993/2023 les jours fériés. Enfin, avec K______, il avait introduit la location d’une chambre, ce qui avait eu pour conséquence qu’il y avait plusieurs locataires dans un seul appartement. Dans son courrier du 6 octobre 2017 à l’OCLPF, l’OP, qui gérait les immeubles, a explicitement indiqué que A______ SA gérait un parc locatif en résidence hôtelière – avec des baux de quelques jours à deux-trois mois - et qu’elle souhaitait en ajouter deux, ce qui pourrait constituer un changement d’affectation au sens de la LDTR. Il relevait également, en référence à l’avis de droit de Me ADLER, que l'importance des éléments faisant penser à une résidence hôtelière avait été sous-estimée dans cet avis, par exemple en ce qui concernait la durée très courte des locations K______, le fait que les appartements étaient loués à la chambre par K______ (il y avait donc plusieurs locations par appartement dans ces cas), les prestations accessoires fournies comme l'exécution de commissions, l'achat de billets de spectacles ou le lavage de voitures pour les clients, les réparations urgentes effectuées le week-end, les interventions de nuit, le service de réception centralisé comprenant un concierge, le fait qu'il y ait en moyenne une centaine d'entrées et de sorties par mois pour les 224 appartements exploités en résidence hôtelière, notamment. Lors des visites, il avait été constaté un service de pressing et que de nombreux appartements étaient meublés de la même manière, avec des éléments de décoration ou des appareils électroménagers pour certain répétitifs. Par ailleurs, en annexe de certains baux, un inventaire détaillant avec précision les ustensiles de cuisine, la vaisselle et le linge de maison était établi. Une seconde visite des appartements, telle que la recourante le demande, n'aurait rien changé puisque cette dernière affirme ne jamais avoir procédé à un changement d'affection : ainsi, tant les appartements que les locaux et les communs de l’immeuble auraient été identiques. Des annonces de location pour des appartements sis dans les immeubles ont également été publiées, lesquelles indiquaient que la location pouvait se faire à la nuit, avec des frais de ménage et de services en sus du prix indiqué. Au vu de tous ces éléments, qui convergent vers une affectation des logements de l’immeuble en résidence hôtelière – étant souligné que les déclarations de M. G______ faites dans le cadre d’une autre procédure et donc sans qu’il connaisse les conséquences juridiques de ces propos dans le cadre de la présente procédure, sont ceux devant être retenus - c’est à juste titre que le département a retenu comme établi qu’un changement d’affectation des appartements avait eu lieu, sans autorisation. Le tribunal relèvera que l’instruction de la cause a pris beaucoup de temps, notamment du fait que la recourante a mis de nombreux mois à transmettre les pièces demandées, notamment celles sollicitées le 13 novembre 2019 et produites seulement le 12 novembre 2020 - et a sollicité à plusieurs reprises des rencontres afin qu’une solution amiable globale puisse être trouvée, et que, même si aujourd’hui il pourrait apparaitre que tous les appartements ne sont plus exploités</w:t>
      </w:r>
    </w:p>
    <w:p>
      <w:r>
        <w:t>- 19/20 - A/2993/2023 en résidence hôtelière – ce que la recourante pourrait laisser entendre quand elle indique, dans ses écritures du 17 février 2025, que le département aurait dû renouveler les constats effectués afin qu’il correspondent toujours à la réalité, au- delà du fait que lesdits constats ne confirmaient pas un changement d’affectation -, la décision n’en est pas moins fondée. Aucun reproche ne peut être formulé à l’encontre du département sur la gestion de cette procédure et le temps qu’elle a pris. Il appartient maintenant à la recourante de s’y conformer, cas échéant en produisant les éléments probants permettant de retenir qu’elle s’y serait déjà conformée.</w:t>
      </w:r>
    </w:p>
    <w:p>
      <w:r>
        <w:rPr>
          <w:b/>
        </w:rPr>
        <w:t>E. 24</w:t>
      </w:r>
    </w:p>
    <w:p>
      <w:r>
        <w:t>En tous points mal fondé, le recours sera rejeté.</w:t>
      </w:r>
    </w:p>
    <w:p>
      <w:r>
        <w:rPr>
          <w:b/>
        </w:rPr>
        <w:t>E. 25</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- 20/20 - A/2993/2023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