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JTAPI/703/2023 vom 22. Juni 2023</w:t>
      </w:r>
    </w:p>
    <w:p>
      <w:r>
        <w:t>GE Cour de justice, 2023-06-22, FR</w:t>
      </w:r>
    </w:p>
    <w:p>
      <w:r>
        <w:rPr>
          <w:b/>
        </w:rPr>
        <w:t xml:space="preserve">Quelle: </w:t>
      </w:r>
      <w:r>
        <w:t>https://mcp.opencaselaw.ch/entscheid/ge_gerichte_JTAPI_703_2023</w:t>
      </w:r>
    </w:p>
    <w:p>
      <w:r>
        <w:t>FR: GE_GERICHTE JTAPI/703/2023 du 22 juin 2023</w:t>
      </w:r>
    </w:p>
    <w:p>
      <w:r>
        <w:t>IT: GE_GERICHTE JTAPI/703/2023 del 22 giugno 2023</w:t>
      </w:r>
    </w:p>
    <w:p>
      <w:pPr>
        <w:pStyle w:val="Heading2"/>
      </w:pPr>
      <w:r>
        <w:t>Erwägungen</w:t>
      </w:r>
    </w:p>
    <w:p>
      <w:r>
        <w:rPr>
          <w:b/>
        </w:rPr>
        <w:t>E. 20</w:t>
      </w:r>
    </w:p>
    <w:p>
      <w:r>
        <w:t>L’autorité intimée a dupliqué le 8 mars 2023, persistant dans ses précédentes observations et ses conclusions. Elle a produit un courriel de Monsieur J______, directeur et géologue cantonal auprès du GESDEC, du 10 janvier 2023, confirmant que la solution technique intermédiaire proposée par le bureau H______ n’était pas envisageable sur les parcelles en cause, ainsi que précisé lors de la séance du 20 mars 2022. Son argumentation ainsi que le contenu de cette pièce seront repris et discutés dans la mesure utile dans la partie en droit.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- 11/25 - A/3057/2022 2. Interjetés en temps utile et dans les formes prescrites devant la juridiction compétente, les recours sont recevables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Du refus d’autorisation de construire APA 6______ 4. Le recourant invoque un défaut de motivation de la décision querellée et partant une violation de son droit d’être entendu. 5.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w:t>
      </w:r>
    </w:p>
    <w:p>
      <w:r>
        <w:t>- 12/25 - A/3057/2022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6. 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 ; ATA/1108/2019 du 27 juin 2019 consid. 4c et les arrêts cités). 7. Selon le système prévu par la LCI, les préavis des communes, des départements et organismes intéressés n'ont qu'un caractère consultatif. Le département, qui n’est pas lié par ces préavis, reste libre de s’en écarter pour des motifs pertinents et en raison d’un intérêt public supérieur (art. 3 al. 3 LCI ; ATA/659/2017 du 13 juin 2017 consid. 4b ; ATA/318/2017 du 21 mars 2017 consid. 8c ; ATA/699/2015 du 30 juin 2015 ; ATA/51/2013 du 21 janvier 2013 ; ATA/719/2011 du 22 novembre 2011 et les références citées). Néanmoins, lorsque la consultation d'une instance de préavis est imposée par la loi, le préavis de celle-ci a un poids certain dans l'appréciation qu'est amenée à effectuer l'autorité de recours et il convient de ne pas le minimiser (ATA/1274/2017 du 12 septembre 2017 ; ATA/659/2017 du 13 juin 2017 ; ATA/534/2016 du</w:t>
      </w:r>
    </w:p>
    <w:p>
      <w:r>
        <w:rPr>
          <w:b/>
        </w:rPr>
        <w:t>E. 21</w:t>
      </w:r>
    </w:p>
    <w:p>
      <w:r>
        <w:t>La protection des sols est un principe ancré à l’art. 33 LPE, qui prévoit la conservation à long terme de la fertilité des sols en les protégeant des atteintes chimiques et biologiques (al. 1) et qui ne permet de porter atteinte physiquement à un sol que dans la mesure où sa fertilité n'en est pas altérée durablement (al. 2). Ces objectifs sont concrétisés par l’OSol, qui régit l'observation, la surveillance et l'évaluation des atteintes chimiques, biologiques et physiques portées aux sols (let. a), les mesures destinées à prévenir les compactions persistantes et l'érosion (let. b), les mesures à prendre pour la manipulation des matériaux terreux issus du décapage du sol (let. c) et, enfin, les mesures supplémentaires que les cantons prennent pour des sols atteints (let. d) (art. 1 OSol). Par atteintes physiques aux sols, on entend les atteintes à la structure, à la succession des couches pédologiques ou à l’épaisseur des sols résultant d’interventions humaines (art. 2 al. 4 OSol). L'art. 2 al. 1 OSol expose qu’un sol est considéré comme fertile notamment s'il présente, pour sa station, une biocénose biologiquement active, une structure, une succession et une épaisseur typiques et qu'il dispose d'une capacité de décomposition intacte (al. 1 let. a) et s'il permet aux plantes et aux associations végétales naturelles ou cultivées de croître et de se développer normalement et ne nuit pas à leurs propriétés (al. 1 let. b). Concernant le maniement des matériaux terreux issus du décapage du sol, l’art. 7 al. 1 OSol précise que quiconque décape un sol doit procéder de telle façon que le sol puisse être réutilisé en tant que tel ; en particulier, la couche supérieure du sol et la couche sous-jacente du sol seront décapées et entreposées séparément. Si des matériaux terreux issus du décapage de la couche supérieure et de la couche sous-jacente du sol sont utilisés pour reconstituer un sol (p. ex. en vue de la remise en état ou du remodelage d’un terrain), ils doivent être mis en place de sorte que la fertilité du sol en place et celle du sol reconstitué ou intégré ne soient que provisoirement perturbées par des atteintes physiques (let. a) et que le sol en place ne subisse pas d’atteintes chimiques et biologiques supplémentaires (let. b) (art. 7 al. 2 OSol).</w:t>
      </w:r>
    </w:p>
    <w:p>
      <w:r>
        <w:rPr>
          <w:b/>
        </w:rPr>
        <w:t>E. 22</w:t>
      </w:r>
    </w:p>
    <w:p>
      <w:r>
        <w:t>Le GESDEC est le service spécialisé de la protection de l'environnement, chargé de l’exécution de la législation et des directives fédérales en matière de protection des sols (art. 2 al. 2 du règlement sur la protection des sols du 16 janvier 2008 - RSol - K 1 70.13 ; directive d’application du règlement sur la protection des sols,</w:t>
      </w:r>
    </w:p>
    <w:p>
      <w:r>
        <w:t>- 18/25 - A/3057/2022 établie par le GESDEC du département de l’environnement, des transports et de l’agriculture (DETA), le 24 janvier 2014, version du 3 août 2022).</w:t>
      </w:r>
    </w:p>
    <w:p>
      <w:r>
        <w:rPr>
          <w:b/>
        </w:rPr>
        <w:t>E. 23</w:t>
      </w:r>
    </w:p>
    <w:p>
      <w:r>
        <w:t>En l’occurrence, le département s’est fondé notamment sur les préavis de l’OCAN et du GESDEC pour rendre la décision de refus d’autorisation litigieuse. Le GESDEC est le service spécialisé du canton qui a notamment pour mission de protéger, gérer et exploiter durablement les sols, le sous-sol et les eaux souterraines. Le service est composé de spécialistes qui ont les connaissances techniques nécessaires. Aucun élément du dossier ne permet de retenir qu’ils ne bénéficieraient pas de la formation ou des connaissances techniques adéquates pour apprécier le contexte géologique, hydrogéologique et pédologique des parcelles concernées. Le recourant ne le soutient d’ailleurs pas. Enfin, le GESDEC a une garantie d'objectivité importante en tant que service public (arrêt du Tribunal fédéral 1C_273/2021 précité consid. 2.2.3). Or, il ressort du dossier que ce service a examiné avec soin le projet. Au terme de son analyse, il a émis par deux fois un préavis défavorable, constatant, sur la base du rapport d’H______, que le projet querellé ne permet pas de retrouver les conditions de stabilité comparables à celles existantes avant la mise en place du remblai litigieux. S’agissant du rapport précité, le GESDEC a souhaité disposer d’une expertise tierce sur le glissement de terrain touchant les parcelles N° 1______ et N° 3______, vu les conclusions divergentes des études I______ et G______ sur les moyens à mettre en œuvre. Donnant son avis sur les solutions proposées, H______ expose en particulier les raisons justifiant d’écarter la solution de G______. Concernant le non-respect de l’art. 7 OSol, contrairement à ce que soutient le recourant, le GESDEC s’est basé sur des sondages effectués en mars 2013 sur le terrain en question pour constater que le remblai litigieux avait provoqué une atteinte au sol naturel de la parcelle, en violation de cette disposition. Cette violation consiste spécifiquement dans l'atteinte portée à tout le moins aux propriétés physiques du sol (et sans doute également à ses propriétés chimiques et biologiques), puisqu'il s'avère que les remblais litigieux ont été déposés par-dessus la couche supérieure et la couche sous-jacente du sol en place, contrairement au déplacement préalable de ces deux couches imposé par l'art. 7 OSol. L'atteinte aux propriétés physiques du sol s'est d'ailleurs traduite, peu de temps après le dépôt des remblais, par les mouvements de terrains auxquels il s'agit à présent de mettre fin. Dans son préavis défavorable du 22 novembre 2021, l’OCAN relève quant à lui que le projet sis en zone agricole a pour but l’installation d’un système de drainage suite à un remblayage non autorisé et non adapté à une activité viticole durable. De ce fait, il considère le projet non conforme à la zone. Les préavis de l'OCAN et du GESDEC, qui bénéficient en soi d'un poids particulier, dans la mesure où ils sont requis par la loi, apparaissent déterminants</w:t>
      </w:r>
    </w:p>
    <w:p>
      <w:r>
        <w:t>- 19/25 - A/3057/2022 et rien ne laisse supposer que ces autorités spécialisées auraient pris en compte des éléments sans pertinence pour forger leur point de vue ou qu'elles n'y auraient pas procédé avec soin et diligence. Il apparaît au contraire qu'elles ont consciencieusement examiné le dossier. Pour sa part, le recourant, qui se contente d’évoquer une prétendue absence de motivation de la décision querellée, n’apporte aucun élément permettant de conclure que le département aurait dû s’écarter des préavis de ces instances spécialisées. En particulier, il ne démontre, ni même n’allègue, que les travaux de remblayage réalisés en 2012 n’auraient pas porté atteinte au sol. Quant à la solution intermédiaire, comme le relève à juste titre l’autorité intimée, il ne s’agit pas de l’objet de la décision de refus, de sorte que le département n’avait pas à examiner cette question dans ce cadre. En suivant les préavis défavorables des instances spécialisées dans les domaines de l’agriculture et du sol, il n’apparait donc pas que le département aurait excédé ou abusé de son pouvoir d’appréciation en refusant de délivrer l’autorisation de construire sollicitée. Il résulte de ce qui précède que le refus qui a été opposé au recourant est conforme au droit, étant relevé que le principe de la proportionnalité ne peut ici être pris en considération, cette problématique ne pouvant être appréhendée que dans le cadre de la procédure de remise en état, dont il sera question ci-après. Au surplus, et tel que relevé par l’autorité intimée, rien n’oblige le département à rendre simultanément les décisions de refus et de remise en état, de sorte que la critique du recourant à cet égard est mal fondée. Ceci étant, dès lors que les deux procédures ont été jointes, cette question ne se pose plus en l’espèce. Le grief tiré de la violation du principe de proportionnalité doit donc être écarté. De l’ordre de remise en état I-5______</w:t>
      </w:r>
    </w:p>
    <w:p>
      <w:r>
        <w:rPr>
          <w:b/>
        </w:rPr>
        <w:t>E. 24</w:t>
      </w:r>
    </w:p>
    <w:p>
      <w:r>
        <w:t>Le recourant conteste l’ordre de remise en état qu’il estime contraire au principe de proportionnalité.</w:t>
      </w:r>
    </w:p>
    <w:p>
      <w:r>
        <w:rPr>
          <w:b/>
        </w:rPr>
        <w:t>E. 25</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la réparation, la modification, la suppression ou la démolition (art. 129 let. a et 130 LCI).</w:t>
      </w:r>
    </w:p>
    <w:p>
      <w:r>
        <w:rPr>
          <w:b/>
        </w:rPr>
        <w:t>E. 26</w:t>
      </w:r>
    </w:p>
    <w:p>
      <w:r>
        <w:t>De jurisprudence constante, pour être valable, un ordre de mise en conformité doit respecter cinq conditions. Premièrement, il doit être dirigé contre le perturbateur.</w:t>
      </w:r>
    </w:p>
    <w:p>
      <w:r>
        <w:t>- 20/25 - A/3057/2022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w:t>
      </w:r>
    </w:p>
    <w:p>
      <w:r>
        <w:rPr>
          <w:b/>
        </w:rPr>
        <w:t>E. 27</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w:t>
      </w:r>
    </w:p>
    <w:p>
      <w:r>
        <w:rPr>
          <w:b/>
        </w:rPr>
        <w:t>E. 28</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29</w:t>
      </w:r>
    </w:p>
    <w:p>
      <w:r>
        <w:t>Un ordre de démolir une construction ou un ouvrage édifié sans permis de construire et pour lequel une autorisation ne pouvait être accordée, n'est pas contraire au principe de la proportionnalité. Celui qui place l'autorité devant le fait accompli doit s'attendre à ce que celle-ci se préoccupe plus de rétablir une situation conforme au droit que d'éviter les inconvénients qui en découlent pour lui (arrêt 1C_60/2021 précité consid. 3.1 ; ATF 123 II 248 consid. 4a ; ATA/213/2018 du 6 mars 2018 consid. 11 ; ATA/738/2017 précité consid. 8 ; ATA/829/2016 du 4 octobre 2016). Même un constructeur qui n'est pas de bonne foi peut invoquer le principe de la proportionnalité (arrêt du Tribunal fédéral 1C_114/2011 du 8 juin 2011 consid. 4.1 et les références citées).</w:t>
      </w:r>
    </w:p>
    <w:p>
      <w:r>
        <w:t>- 21/25 - A/3057/2022</w:t>
      </w:r>
    </w:p>
    <w:p>
      <w:r>
        <w:rPr>
          <w:b/>
        </w:rPr>
        <w:t>E. 30</w:t>
      </w:r>
    </w:p>
    <w:p>
      <w:r>
        <w:t>L’autorité peut renoncer à un ordre de démolition, conformément au principe de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(arrêt 1C_60/2021 précité consid. 3.1, ATF 132 II 21 consid. 6 ; 123 II 248 consid. 3a/bb ; arrêt du Tribunal fédéral 1C_60/2021 du 27 juillet 2021 consid. 3.1 ; ATA/1399/2019 du 17 septembre 2019 consid. 3c). 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31</w:t>
      </w:r>
    </w:p>
    <w:p>
      <w:r>
        <w:t>En l'espèce, il n’est pas contesté que l’ordre de remise en état est dirigé contre le propriétaire de la parcelle qui est le perturbateur tant par comportement que par situation, que le remblai n’a pas été autorisé et que les travaux n’ont pas été réalisés il y a plus de trente ans. Par ailleurs, comme vu plus haut, le département n’a pas créé, par son comportement ou des informations, des attentes protégées par le principe de la bonne foi. En outre, il existe un intérêt public certain au rétablissement d'une situation conforme au droit, en tant qu'il porte sur la préservation des terres agricoles, qui plus est en zone viticole protégée, soit l'intérêt d'en protéger ses caractéristiques originelles du point de vue de son sol. Cet intérêt, doit l’emporter sur l’intérêt privé du recourant, au demeurant nullement démontré, sinon sous un angle purement économique qui, comme vu plus haut, ne saurait en principe l'emporter sur l'intérêt public, en particulier dans un cas comme la présente espèce. S’agissant du principe de la proportionnalité et plus particulièrement du critère de l’aptitude, dans son préavis du 17 juin 2022, le GESDEC, qui dispose des connaissances et compétences utiles pour évaluer les impacts du projet sur le site, a relevé que l’intervention réalisée en 2012 avait eu pour conséquence de provoquer une atteinte physique au sol naturel de la parcelle N° 1______ sans justification, en violation de l’art. 7 OSol (pas de décapage, pas de séparations des</w:t>
      </w:r>
    </w:p>
    <w:p>
      <w:r>
        <w:t>- 22/25 - A/3057/2022 horizons, terre végétale enterrée sous le remblai). Le rapport d’H______ a également relevé que le remblayage avait occasionné des mouvements de terrain affectant en majeure partie la parcelle du recourant et pour partie les parcelles voisines, précisant que si la zone de glissement paraissait peu active, elle n’était cependant pas stabilisée. Afin de retrouver une stabilité comparable à celle d’avant le glissement de terrain, le rapport préconisait de retirer en intégralité le remblai mis en place en 2012 et de remettre en état le dispositif de drainage initial, solution également portée par le bureau d’étude I______. S’agissant du critère de subsidiarité, le GESDEC a clairement expliqué les raisons pour lesquelles la solution intermédiaire consistant à ne retirer qu’une partie des matériaux de remblai n’était pas envisageable en l’espèce. Comme exposé lors de la séance du 29 mars 2022 et dans son courriel du 10 janvier 2023, cette instance a en effet considéré qu’au vu du contexte environnemental et géologique (remblai situé sur le périmètre d’influence d’une zone sujette à des instabilités de terrains naturels de type glissement superficiel) et légal (maniement de matériaux terreux issus du décapage du sol non compatible avec les prescriptions environnementales définies à l’art. 7 OSol et remblayage effectué sans autorisation préalable), cette solution ne permettait pas de garantir les conditions de stabilité comparables à celles qui prévalaient avant la mise en place du remblai et ne réglait pas les aspects liés aux atteintes portées au sol. Contrairement à ce que soutient le recourant, le GESDEC n’a pas « changé complétement d’avis » et écarté « d’un revers de main » la solution intermédiaire. C’est au contraire après un examen minutieux du dossier et sur la base des différents rapports en présence que cette instance a confirmé sa position initiale et s’est déclarée défavorable à la solution intermédiaire. Quant à la solution proposée par G______ et permettant de conserver le remblai de 2012, le rapport d’H______ expose les raisons qui justifient de l’écarter. Ce rapport relève notamment que la solution proposée se fonde sur des calculs simplifiés, peu représentatifs du contexte géologique du site (pente et épaisseur de remblai homogène, deux couches de sol, nappe sub- affleurante, etc.). Toujours selon ce rapport, l’hypothèse de calcul de G______ reposant sur une nappe sub-affleurante sur la totalité du coteau est largement discutable pour des raisons qu’il détaille. Le drainage agricole en faible profondeur ne parait donc pas apporter l’effet escompté. Au surplus, le tribunal ne voit pas quelle mesure moins incisive permettrait de protéger les intérêts publics compromis et le recourant ne démontre pas que la remise en état consistant à restituer la parcelle à son état d'origine serait impossible ou qu'elle entraînerait des surcoûts disproportionnés. L'intérêt privé du recourant, ainsi purement économique, ne saurait l'emporter sur cet intérêt public, étant rappelé qu'il a placé l'autorité devant le fait accompli. L'ordre de remise en état apparaît ainsi constituer une mesure adéquate, apte à atteindre le but visé, et portant à la propriété du recourant une atteinte limitée à la</w:t>
      </w:r>
    </w:p>
    <w:p>
      <w:r>
        <w:t>- 23/25 - A/3057/2022 réalisation du but d'intérêt public. Il est ainsi conforme au principe de la proportionnalité. Le grief doit donc être écarté.</w:t>
      </w:r>
    </w:p>
    <w:p>
      <w:r>
        <w:rPr>
          <w:b/>
        </w:rPr>
        <w:t>E. 32</w:t>
      </w:r>
    </w:p>
    <w:p>
      <w:r>
        <w:t>Dans un dernier grief, le recourant se plaint d’une violation de la garantie de la propriété.</w:t>
      </w:r>
    </w:p>
    <w:p>
      <w:r>
        <w:rPr>
          <w:b/>
        </w:rPr>
        <w:t>E. 33</w:t>
      </w:r>
    </w:p>
    <w:p>
      <w:r>
        <w:t>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3ème éd., 2014, p. 569 ss et 575 ss ad art. 26 Cst.).</w:t>
      </w:r>
    </w:p>
    <w:p>
      <w:r>
        <w:rPr>
          <w:b/>
        </w:rPr>
        <w:t>E. 34</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w:t>
      </w:r>
    </w:p>
    <w:p>
      <w:r>
        <w:rPr>
          <w:b/>
        </w:rPr>
        <w:t>E. 35</w:t>
      </w:r>
    </w:p>
    <w:p>
      <w:r>
        <w:t>En l’espèce, l’atteinte portée au droit de propriété du recourant repose sur une base légale – soit les art. 16a al. 1 LAT, 34 al. 4 let. a OAT, 20 al. 1 let. c LaLAT, 33 LPE et 2 et 7 OSol, ainsi que les art. 129 ss LCI –, poursuit un intérêt public et est proportionnée ainsi qu’il a été vu plus haut. Aucune mesure moins incisive que l’ordre de remise en état n’est à même d’atteindre l’objectif de préservation des terres agricoles et le recourant ne soutient pas que la remise en état engendrerait des coûts disproportionnés. Le grief sera donc également écarté.</w:t>
      </w:r>
    </w:p>
    <w:p>
      <w:r>
        <w:t>- 24/25 - A/3057/2022</w:t>
      </w:r>
    </w:p>
    <w:p>
      <w:r>
        <w:rPr>
          <w:b/>
        </w:rPr>
        <w:t>E. 36</w:t>
      </w:r>
    </w:p>
    <w:p>
      <w:r>
        <w:t>Entièrement mal fondé, le recours sera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1'500.- ; il est partiellement couvert par les avances de frais versées à la suite du dépôt des recours et totalisant CHF 1'400.-. Vu l’issue du litige, aucune indemnité de procédure ne sera allouée (art. 87 al. 2 LPA).</w:t>
      </w:r>
    </w:p>
    <w:p>
      <w:r>
        <w:t>- 25/25 - A/3057/2022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