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JTAPI/69/2024 vom 29. Januar 2024</w:t>
      </w:r>
    </w:p>
    <w:p>
      <w:r>
        <w:t>GE Cour de justice, 2024-01-29, FR</w:t>
      </w:r>
    </w:p>
    <w:p>
      <w:r>
        <w:rPr>
          <w:b/>
        </w:rPr>
        <w:t xml:space="preserve">Quelle: </w:t>
      </w:r>
      <w:r>
        <w:t>https://mcp.opencaselaw.ch/entscheid/ge_gerichte_JTAPI_69_2024</w:t>
      </w:r>
    </w:p>
    <w:p>
      <w:r>
        <w:t>FR: GE_GERICHTE JTAPI/69/2024 du 29 janvier 2024</w:t>
      </w:r>
    </w:p>
    <w:p>
      <w:r>
        <w:t>IT: GE_GERICHTE JTAPI/69/2024 del 29 gennaio 2024</w:t>
      </w:r>
    </w:p>
    <w:p>
      <w:pPr>
        <w:pStyle w:val="Heading2"/>
      </w:pPr>
      <w:r>
        <w:t>Erwägungen</w:t>
      </w:r>
    </w:p>
    <w:p>
      <w:r>
        <w:rPr>
          <w:b/>
        </w:rPr>
        <w:t>E. 43</w:t>
      </w:r>
    </w:p>
    <w:p>
      <w:r>
        <w:t>Sur la base des pièces que le recourant a produites, l’on ne peut admettre qu’il séjourne en Suisse de manière continue que depuis février 2013 (cf. attestation TPG), sa présence lors des années antérieures n’étant établie que pour quelques mois par année. Entre octobre 2018 et le 24 septembre 2019 (cf. attestation TPG et de suivi de cours de français), le recourant n'a pas apporté la preuve de son séjour en Suisse. Il a toutefois déposé deux demandes de visa de retour durant cette période. Les témoignages produits ne permettent pas de retenir un séjour ininterrompu avant février 2013. Ils attestent uniquement de la présence épisodique du recourant à Genève, ces personnes ne pouvant témoigner qu'il s'y trouvait que lorsqu'ils le rencontraient. Dès lors, et sous l'angle de l'opération « Papyrus », le recourant ne remplissait pas la condition de dix ans de séjour continu à Genève lorsqu'il a déposé sa demande de régularisation le 18 décembre 2018.</w:t>
      </w:r>
    </w:p>
    <w:p>
      <w:r>
        <w:rPr>
          <w:b/>
        </w:rPr>
        <w:t>E. 44</w:t>
      </w:r>
    </w:p>
    <w:p>
      <w:r>
        <w:t>Dans l'hypothèse qui lui est la plus favorable et sans tenir compte de la période d'octobre 2018 au 24 septembre 2019 pour laquelle il ne dispose pas de preuve de son séjour en Suisse, il se trouve en Suisse depuis dix ans, ce qui constitue une longue durée au sens de la jurisprudence précitée. Cela étant, le seul fait de séjourner en Suisse pendant plusieurs années - même à titre légal - n'est pas suffisant sans que n'existent d'autres circonstances tout à fait exceptionnelles, lesquelles font ici manifestement défaut.</w:t>
      </w:r>
    </w:p>
    <w:p>
      <w:r>
        <w:rPr>
          <w:b/>
        </w:rPr>
        <w:t>E. 45</w:t>
      </w:r>
    </w:p>
    <w:p>
      <w:r>
        <w:t>En effet, le recourant ne peut pas se prévaloir d’une intégration socio- professionnelle exceptionnelle. L’emploi qu’il exerce ne témoigne pas d’une ascension professionnelle remarquable et il n’a pas acquis des qualifications spécifiques susceptibles de justifier l'admission d'un cas de rigueur au sens de l'art. 30 al. 1 let. b LEI. Il convient en outre de rappeler que le fait de travailler pour ne pas dépendre de l'aide sociale, ne pas avoir contracté de dettes, payer ses impôts et s'efforcer d'apprendre au moins la langue nationale parlée au lieu du domicile constitue un comportement ordinaire qui peut être attendu de tout étranger souhaitant obtenir la régularisation de ses conditions de séjour. Il ne s'agit pas de circonstances exceptionnelles permettant à elles seules de retenir l'existence d'une intégration particulièrement marquée susceptible de justifier la reconnaissance d'un cas de rigueur. Il ne peut pas non plus se prévaloir d’un</w:t>
      </w:r>
    </w:p>
    <w:p>
      <w:r>
        <w:t>- 16/18 - A/2217/2023 comportement irréprochable, compte tenu de sa condamnation pénale dont il n'y a pas lieu de s'écarter.</w:t>
      </w:r>
    </w:p>
    <w:p>
      <w:r>
        <w:rPr>
          <w:b/>
        </w:rPr>
        <w:t>E. 46</w:t>
      </w:r>
    </w:p>
    <w:p>
      <w:r>
        <w:t>Sur le plan social, il ne ressort pas du dossier qu’il aurait noué des liens forts avec la Suisse. Il a passé non seulement toute son enfance au Kosovo, mais également son adolescence et le début de sa vie d’adulte, périodes déterminantes pour le développement personnel et scolaire, et qui entraînent souvent une intégration accrue dans un milieu déterminé (cf. ATF 123 II 125 consid. 4b ; arrêt du Tribunal fédéral 2C_75/2011 du 6 avril 2011 consid. 3.4 ; ATA/203/2018 du 6 mars 2018 consid. 9a). Il y a d'ailleurs conservé des fortes attaches familiales, notamment sa fiancée, son père, ses trois frères et sœurs et ses neveux qu'il visite régulièrement.</w:t>
      </w:r>
    </w:p>
    <w:p>
      <w:r>
        <w:rPr>
          <w:b/>
        </w:rPr>
        <w:t>E. 47</w:t>
      </w:r>
    </w:p>
    <w:p>
      <w:r>
        <w:t>S'il se heurtera sans doute à des difficultés de réadaptation dans son pays d'origine, il ne démontre pas que celles-ci seraient plus graves pour lui que pour n'importe lequel de ses concitoyens qui se trouverait dans une situation similaire.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il ne pouvait ignorer, au vu de son statut illicite en Suisse, qu'il pourrait à tout moment être amené à devoir renoncer, en cas de refus de la régularisation de ses conditions de séjour, à tout ce qu’il avait mis en place en Suisse, y compris à son activité professionnelle.</w:t>
      </w:r>
    </w:p>
    <w:p>
      <w:r>
        <w:rPr>
          <w:b/>
        </w:rPr>
        <w:t>E. 48</w:t>
      </w:r>
    </w:p>
    <w:p>
      <w:r>
        <w:t>Pour le surplus, les difficultés d'ordre général qu'il pourrait rencontrer au Kosovo, afin notamment de retrouver un emploi, ne sauraient constituer une situation rigoureuse au sens de la jurisprudence précitée. À cet égard, rien n'indique d'ailleurs que l'expérience professionnelle qu'il a acquise en Suisse ne pourrait pas constituer un atout susceptible de favoriser sa réintégration sur le marché de l'emploi dans son pays d'origine. Le fait qu'il entretienne son père et son frère restés au Kosovo et expédie de l'argent à ses neveux et sa fiancée ne peut pas être pris en compte dans l'examen du cas de rigueur. Seule la situation du recourant lui-même doit être évaluée.</w:t>
      </w:r>
    </w:p>
    <w:p>
      <w:r>
        <w:rPr>
          <w:b/>
        </w:rPr>
        <w:t>E. 49</w:t>
      </w:r>
    </w:p>
    <w:p>
      <w:r>
        <w:t>Partant, ni l'âge du recourant, ni la durée de son séjour sur le territoire, ni son comportement, ni encore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w:t>
      </w:r>
    </w:p>
    <w:p>
      <w:r>
        <w:t>- 17/18 - A/2217/2023 exiger d'eux qu'ils tentent de se réadapter à leur existence passée, ce que le recourant n'a pas établi.</w:t>
      </w:r>
    </w:p>
    <w:p>
      <w:r>
        <w:rPr>
          <w:b/>
        </w:rPr>
        <w:t>E. 50</w:t>
      </w:r>
    </w:p>
    <w:p>
      <w:r>
        <w:t>Il ressort de ce qui précède que l'OCPM n'a violé ni le droit conventionnel, ni le droit fédéral, ni encore excédé ou abusé de son pouvoir d'appréciation (art. 96 LEI) en refusant de délivrer l'autorisation de séjour sollicitée. 51. Selon l'art. 64 al. 1 let. c LEI, les autorités compétentes rendent une décision de renvoi ordinaire à l'encontre d'un étranger auquel une autorisation est refusée ou dont l'autorisation, bien que requise, est révoquée ou n'est pas prolongée après un séjour autorisé. 52. Le renvoi constitue la conséquence logique et inéluctable du rejet d'une demande tendant à la délivrance ou la prolongation d'une autorisation de séjour, l'autorité ne disposant à ce titre d'aucun pouvoir d'appréciation (ATA/1118/2020 du 10 novembre 2020 consid. 11a). 53. 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 54. Infondé, le recours sera rejeté et la décision contestée confirmée. 55.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56. Vu l’issue du litige, aucune indemnité de procédure ne sera allouée (art. 87 al. 2 LPA). 57. En vertu des art. 89 al. 2 et 111 al. 2 de la loi sur le Tribunal fédéral du 17 juin 2005 (LTF - RS 173.110), le présent jugement sera communiqué au SEM.</w:t>
      </w:r>
    </w:p>
    <w:p>
      <w:r>
        <w:t>- 18/18 - A/2217/2023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