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JTAPI/694/2024 vom 11. Juli 2024</w:t>
      </w:r>
    </w:p>
    <w:p>
      <w:r>
        <w:t>GE Cour de justice, 2024-07-11, FR</w:t>
      </w:r>
    </w:p>
    <w:p>
      <w:r>
        <w:rPr>
          <w:b/>
        </w:rPr>
        <w:t xml:space="preserve">Quelle: </w:t>
      </w:r>
      <w:r>
        <w:t>https://mcp.opencaselaw.ch/entscheid/ge_gerichte_JTAPI_694_2024</w:t>
      </w:r>
    </w:p>
    <w:p>
      <w:r>
        <w:t>FR: GE_GERICHTE JTAPI/694/2024 du 11 juillet 2024</w:t>
      </w:r>
    </w:p>
    <w:p>
      <w:r>
        <w:t>IT: GE_GERICHTE JTAPI/694/2024 del 11 luglio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10 juillet 2024 à 14h15, comme l’indique le procès-verbal d’audition (cf. à cet égard arrêts du Tribunal fédéral 2C_618/2011 du 1er septembre 2011 consid. 2 ; 2C_206/2009 du 29 avril 2009 consid. 5.1.1 et les références citées).</w:t>
      </w:r>
    </w:p>
    <w:p>
      <w:r>
        <w:rPr>
          <w:b/>
        </w:rPr>
        <w:t>E. 3.1</w:t>
      </w:r>
    </w:p>
    <w:p>
      <w:r>
        <w:t>; ATA/740/2015 du 16 juillet 2015 ; ATA/943/2014 du 28 novembre 2014 ; ATA/616/2014 du 7 août 2014). Selon la jurisprudence, un risque de fuite - c'est-à-dire la réalisation de l'un des deux motifs précités - existe notamment lorsque l'étranger a déjà disparu une première fois dans la clandestinité, qu'il tente d'entraver les démarches en vue de l'exécution</w:t>
      </w:r>
    </w:p>
    <w:p>
      <w:r>
        <w:t>- 6/8 - A/2344/2024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puisqu’une place sur un vol à destination du Kosovo a été réservée pour M. A______ au départ de Genève pour le 12 juillet 2024. Par ailleurs, M. A______ a donné par écrit son consentement à ce que le tribunal statue sur son sort sans l’entendre oralement.</w:t>
      </w:r>
    </w:p>
    <w:p>
      <w:r>
        <w:t>- 5/8 - A/2344/2024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L'art. 76 al. 1 let. b ch. 1 LEI, renvoyant à l'art. 75 al. 1 let. h de cette même loi, dispose qu’après notification d’une décision de première instance de renvoi ou d’expulsion au sens de la présente loi ou d’une décision de première instance d’expulsion obligatoire au sens des art. 66a ou 66abis CP195 ou 49a ou 49abis CPM, l'autorité compétente peut, afin d’en assurer l’exécution, mettre en détention la personne concernée qui a été condamnée pour crime, par quoi il faut entendre une infraction passible d'une peine privative de liberté de plus de trois ans (cf. art.</w:t>
      </w:r>
    </w:p>
    <w:p>
      <w:r>
        <w:rPr>
          <w:b/>
        </w:rPr>
        <w:t>E. 10</w:t>
      </w:r>
    </w:p>
    <w:p>
      <w:r>
        <w:t>En l’espèce, M. A______ fait l’objet d’une décision d’expulsion de Suisse d’une durée de cinq ans prononcée par le Tribunal de police le 8 février 2024, définitive et exécutoire. Il a par ailleurs été condamné à deux reprises pour vol, soit une infraction constitutive de crime au sens de l’art. 10 al. 2 CP. La détention se justifie donc en application de l’art. 76 al. 1 let. b ch. 1 renvoyant à l’art. 75 al. 1 let. h LEI sans qu’il soit nécessaire d’examiner si cette détention pourrait se fonder sur d’autres motifs. L'assurance de son départ effectif répond en outre à un intérêt public certain et toute autre mesure moins incisive que la détention administrative serait vaine pour assurer sa présence au moment où il devra monter dans l’avion le 12 juillet 2024, M. A______, qui réside illégalement à Genève et est sans attaches, sans domicile et sans sources de revenu, risquant ainsi de disparaitre dans la clandestinité.</w:t>
      </w:r>
    </w:p>
    <w:p>
      <w:r>
        <w:rPr>
          <w:b/>
        </w:rPr>
        <w:t>E. 11</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12</w:t>
      </w:r>
    </w:p>
    <w:p>
      <w:r>
        <w:t>En l'espèce, l'autorité chargée du renvoi a agi avec diligence et célérité, dès lors qu'elle a immédiatement procédé à la réservation d'une place sur un vol de ligne pour permettre le renvoi de M. A______ dans son pays d'origine, lequel pourra avoir lieu le 12 juillet 2024 déjà.</w:t>
      </w:r>
    </w:p>
    <w:p>
      <w:r>
        <w:rPr>
          <w:b/>
        </w:rPr>
        <w:t>E. 13</w:t>
      </w:r>
    </w:p>
    <w:p>
      <w:r>
        <w:t>Selon l'art. 79 al. 1 LEI, la détention ne peut excéder six mois au total. Cette durée maximale peut néanmoins, avec l’accord de l’autorité judiciaire cantonale, être</w:t>
      </w:r>
    </w:p>
    <w:p>
      <w:r>
        <w:t>- 7/8 - A/2344/2024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14</w:t>
      </w:r>
    </w:p>
    <w:p>
      <w:r>
        <w:t>En l'espèce, eu égard à l'ensemble des circonstances, il y a lieu de confirmer l'ordre de mise en détention administrative pour une durée de trois semaines, qui respecte l'art. 79 LEI et n'apparaît pas disproportionnée. 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18 juillet 2024 au plus tard, si l'exécution du renvoi s'est concrétisée ou non.</w:t>
      </w:r>
    </w:p>
    <w:p>
      <w:r>
        <w:rPr>
          <w:b/>
        </w:rPr>
        <w:t>E. 15</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A/2344/2024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