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JTAPI/692/2025 vom 23. Juni 2025</w:t>
      </w:r>
    </w:p>
    <w:p>
      <w:r>
        <w:t>GE Cour de justice, 2025-06-23, FR</w:t>
      </w:r>
    </w:p>
    <w:p>
      <w:r>
        <w:rPr>
          <w:b/>
        </w:rPr>
        <w:t xml:space="preserve">Quelle: </w:t>
      </w:r>
      <w:r>
        <w:t>https://mcp.opencaselaw.ch/entscheid/ge_gerichte_JTAPI_692_2025</w:t>
      </w:r>
    </w:p>
    <w:p>
      <w:r>
        <w:t>FR: GE_GERICHTE JTAPI/692/2025 du 23 juin 2025</w:t>
      </w:r>
    </w:p>
    <w:p>
      <w:r>
        <w:t>IT: GE_GERICHTE JTAPI/692/2025 del 23 giugno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w:t>
      </w:r>
    </w:p>
    <w:p>
      <w:r>
        <w:t>- 16/27 - A/3042/2023</w:t>
      </w:r>
    </w:p>
    <w:p>
      <w:r>
        <w:rPr>
          <w:b/>
        </w:rPr>
        <w:t>E. 4</w:t>
      </w:r>
    </w:p>
    <w:p>
      <w:r>
        <w:t>Saisi d’un recours, le tribunal applique le droit d’office et que s’il ne peut pas aller au-delà des conclusions des parties, il n’est lié ni par les motifs invoqués par celles- ci (art. 69 al. 1 LPA), ni par leur argumentation juridique (ATA/53/2025 du 14 janvier 2025 consid. 4).</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rPr>
          <w:b/>
        </w:rPr>
        <w:t>E. 6</w:t>
      </w:r>
    </w:p>
    <w:p>
      <w:r>
        <w:t>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(ATA/386/2025 du 8 avril 2025 consid. 2.3).</w:t>
      </w:r>
    </w:p>
    <w:p>
      <w:r>
        <w:rPr>
          <w:b/>
        </w:rPr>
        <w:t>E.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la RDC.</w:t>
      </w:r>
    </w:p>
    <w:p>
      <w:r>
        <w:rPr>
          <w:b/>
        </w:rPr>
        <w:t>E. 8</w:t>
      </w:r>
    </w:p>
    <w:p>
      <w:r>
        <w:t>La recourante se prévaut du fait qu’elle remplirait les conditions du cas de rigueur.</w:t>
      </w:r>
    </w:p>
    <w:p>
      <w:r>
        <w:rPr>
          <w:b/>
        </w:rPr>
        <w:t>E. 8.3</w:t>
      </w:r>
    </w:p>
    <w:p>
      <w:r>
        <w:t>in fine).</w:t>
      </w:r>
    </w:p>
    <w:p>
      <w:r>
        <w:rPr>
          <w:b/>
        </w:rPr>
        <w:t>E. 9</w:t>
      </w:r>
    </w:p>
    <w:p>
      <w:r>
        <w:t>Les conditions d’entrée d’un étranger en Suisse sont régies par les art. 5 ss LEI.</w:t>
      </w:r>
    </w:p>
    <w:p>
      <w:r>
        <w:t>- 17/27 - A/3042/2023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Le critère de l’intégration du requérant se base sur le respect de la sécurité et de l’ordre public, le respect des valeurs de la Constitution, les compétences linguistiques, la participation à la vie économique ou l’acquisition d’une formation (art. 58a LEI).</w:t>
      </w:r>
    </w:p>
    <w:p>
      <w:r>
        <w:rPr>
          <w:b/>
        </w:rPr>
        <w:t>E. 10</w:t>
      </w:r>
    </w:p>
    <w:p>
      <w:r>
        <w:t>Ces critères, qui doivent impérativement être respectés, ne sont toutefois pas exhaustifs (ATF 137 II 345 consid. 3.2.3 ; arrêt du Tribunal administratif fédéral F- 3986/2015 du 22 mai 2017 consid. 9.3), d’autres éléments pouvant également entrer en considération, comme les circonstances concrètes ayant amené un étranger à séjourner illégalement en Suisse (ATA/545/2022 du 24 mai 2022 consid. 3e).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w:t>
      </w:r>
    </w:p>
    <w:p>
      <w:r>
        <w:rPr>
          <w:b/>
        </w:rPr>
        <w:t>E. 11</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w:t>
      </w:r>
    </w:p>
    <w:p>
      <w:r>
        <w:t>- 18/27 - A/3042/2023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12</w:t>
      </w:r>
    </w:p>
    <w:p>
      <w:r>
        <w:t>Parmi les éléments déterminants pour la reconnaissance d’un cas d’extrême gravité, il convient en particulier de citer la très longue durée du séjour en Suisse, une intégration sociale particulièrement poussée, une réussite professionnelle remar- 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w:t>
      </w:r>
    </w:p>
    <w:p>
      <w:r>
        <w:rPr>
          <w:b/>
        </w:rPr>
        <w:t>E. 13</w:t>
      </w:r>
    </w:p>
    <w:p>
      <w:r>
        <w:t>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w:t>
      </w:r>
    </w:p>
    <w:p>
      <w:r>
        <w:rPr>
          <w:b/>
        </w:rPr>
        <w:t>E. 14</w:t>
      </w:r>
    </w:p>
    <w:p>
      <w:r>
        <w:t>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w:t>
      </w:r>
    </w:p>
    <w:p>
      <w:r>
        <w:t>- 19/27 - A/3042/2023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F- 1714/2016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C- 384/2013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 2013 du 14 décembre 2015 consid. 9.2 ; C-5235/2013 du 10 décembre 2015 consid.</w:t>
      </w:r>
    </w:p>
    <w:p>
      <w:r>
        <w:rPr>
          <w:b/>
        </w:rPr>
        <w:t>E. 15</w:t>
      </w:r>
    </w:p>
    <w:p>
      <w:r>
        <w:t>Selon la jurisprudence, le fait de renvoyer une femme seule dans son pays d’origine, où elle n’aurait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 santé qui ne pourraient pas être soignés dans sa patrie, le fait qu’elle serait contrainte de regagner sa patrie qu’elle a quitté dans des circonstances traumatisantes, ou encore le fait qu’elle laisserait derrière elle une partie importante de sa proche parenté appelée à demeurer durablement en Suisse (arrêt du Tribunal fédéral administratif F-3012/ 2016 du 1er mai 2019 consid. 6.7.1 ; F-5668/2014 du 24 août 2016 consid. 6.2.4.1 ; C-2145/2014 du 26 mars 2015 consid. 5.8.1 et la jurisprudence citée).</w:t>
      </w:r>
    </w:p>
    <w:p>
      <w:r>
        <w:rPr>
          <w:b/>
        </w:rPr>
        <w:t>E. 16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w:t>
      </w:r>
    </w:p>
    <w:p>
      <w:r>
        <w:t>- 20/27 - A/3042/2023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 2018 du 6 mars 2018 consid. 9a). Sous l’angle du cas de rigueur, il est considéré que cette pratique différenciée réalise la prise en compte de l’intérêt supérieur de l’enfant, telle qu’elle est prescrite par l’art. 3 par. 1 de la Convention relative aux droits de l’enfant, conclue à New York le 20 novembre 1989, approuvée par l’Assemblée fédérale le 13 décembre 1996. Instrument de ratification déposé par la Suisse le 24 février 1997 (CDE - RS 0.107 ; arrêts du Tribunal fédéral 2A.679/2006 du 9 février 2007 consid. 3 et 2A.43/2006 du 31 mai 2006 consid. 3.1 ; ATA/1068/2024 du 10 septembre 2024 consid. 6.3).</w:t>
      </w:r>
    </w:p>
    <w:p>
      <w:r>
        <w:rPr>
          <w:b/>
        </w:rPr>
        <w:t>E. 17</w:t>
      </w:r>
    </w:p>
    <w:p>
      <w:r>
        <w:t>Dans l’ATF 123 II 125 précité,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w:t>
      </w:r>
    </w:p>
    <w:p>
      <w:r>
        <w:t>- 21/27 - A/3042/2023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Dans l’arrêt du 6 avril 2011 précité qui concernait le cas d’une famille avec deux enfants dont l’aîné était âgé de 13 ans, le Tribunal fédéral a en revanche estimé que si l’âge de l’aîné et l’avancement relatif de son parcours scolaire étaient des éléments de nature à compliquer sa réintégration dans son pays d’origine, ils n’étaient pas suffisants, à eux seuls, pour faire obstacle au renvoi de la famille. Il était établi que l’enfant parlait parfaitement l’espagnol et qu’il n’avait pas encore terminé sa scolarité obligatoire ; la poursuite de celle-ci dans son pays d’origine devrait donc pouvoir se faire dans des conditions satisfaisantes (arrêt du Tribunal fédéral 2C_75/2011 précité consid. 3.4). Dans un arrêt ATA/430/2023 du 25 avril 2023, la chambre administrative de la Cour de justice (ci-après : la chambre administrative) a considéré, pour sa part, que l’OCPM n’avait pas mésusé de son pouvoir d’appréciation en refusant de déroger aux conditions d’admission s’agissant d’un jeune ressortissant sénégalais âgé de 23 ans et arrivé en Suisse avec sa sœur pour rendre visite à son père alors qu’il avait 13 ans. L’intéressé était au bénéfice d’un contrat de travail « d’exploitation journalier » en tant que « porteur » qui ne lui permettait pas d’être financièrement indépendant. Il avait suivi les trois années du cycle d’orientation avant d’intégrer l’ECG en classe préparatoire, qu’il avait arrêtée pour des motifs inconnus. Il avait été scolarisé dans une école privée pour une année, formation qu’il avait également interrompue pour des raisons financières. Il s’était ensuite réinscrit à l’ECG pour adultes mais n’avait au final obtenu aucun diplôme. Son parcours scolaire ne pouvait dès lors être qualifié de remarquable ou de si exceptionnel qu’il justifierait la poursuite de son séjour en Suisse. Le seul fait qu’il ait passé son adolescence en Suisse ne justifiait pas non plus, en soi et à lui seul, de lui octroyer une autorisation de séjour pour cas de rigueur, à moins de reconnaître, de facto, un droit à chaque jeune passant son adolescence en Suisse à y demeurer. Il convenait par conséquent de déterminer si la relation de l’intéressé avec la Suisse était si étroite qu’on ne puisse exiger de lui qu’il retourne vivre dans son pays d’origine. Or, son intégration ne présentait pas de particularité et les relations qu’il avait nouées en Suisse n’étaient pas d’une intensité telle que cela compromettait son retour au Sénégal, pays dans lequel il avait conservé des attaches familiales et retournerait accompagné de sœur, dont le cas était tranché en parallèle. Il ne présentait donc pas une situation de détresse personnelle au sens des art. 30 al. 1 let. b LEI et 31 al. 1 OASA, ce quand bien même il ne pouvait être nié qu’un retour dans son pays d’origine pourrait engendrer pour lui certaines difficultés de réadaptation (arrêt précité consid. 6).</w:t>
      </w:r>
    </w:p>
    <w:p>
      <w:r>
        <w:t>- 22/27 - A/3042/2023 Dans un arrêt ATA/1299/2023 du 5 décembre 2023, la chambre administrative a en revanche considéré que l’OCPM avait abusé de son pouvoir d’appréciation en refusant de préaviser favorablement une demande d’autorisation de séjour pour cas de rigueur formée par une ressortissante ivoirienne et ses deux enfants âgés de 9 et</w:t>
      </w:r>
    </w:p>
    <w:p>
      <w:r>
        <w:rPr>
          <w:b/>
        </w:rPr>
        <w:t>E. 20</w:t>
      </w:r>
    </w:p>
    <w:p>
      <w:r>
        <w:t>En l’espèce, il convient en premier lieu de se pencher sur la durée de présence de la recourante en Suisse. Selon ses dires, elle serait arrivée en Suisse en 2002 avec sa mère qui y aurait déposé une demande d’asile en leur faveur, demande refusée l'année suivante. Le tribunal ne dispose d’aucune information permettant de retenir que la recourante est effectivement arrivée en Suisse en 2002 avec sa mère. À teneur du système d’information SYMIC, elle serait arrivée en Suisse en 2009. Cela étant, le tribunal considèrera que la question de savoir si la recourante est arrivée sur le territoire suisse en 2002 ou en 2009 peut rester ouverte puisque, dans tous les cas, le cumul de son séjour ininterrompu en Suisse constitue une très longue durée au sens de la jurisprudence, soit en l’occurrence au moins seize ans. Même si cette circonstance ne suffit pas en soi pour admettre une intégration telle qu’elle ne pourrait être rompue sans graves conséquences, elle mérite cependant une attention particulière, étant néanmoins rappelé que cette durée doit être relativisée puisque le séjour s'est déroulé dans l'illégalité. Concernant son intégration socio-professionnelle en Suisse, elle ne saurait en l’état actuelle être considérée comme exceptionnelle. Néanmoins, il est nécessaire de rappeler que la recourante est arrivée en Suisse au plus tard en 2009, soit à l’âge de 10 ans, et qu'elle a ainsi passé son enfance, son adolescence et le début de sa vie d’adulte en Suisse, des périodes considérées comme importantes pour la formation de sa personnalité. Elle a suivi un apprentissage en tant qu’assistante du commerce de détail du 1er août 2016 au 31 juillet 2019 à l’issu duquel elle a obtenu avec succès une attestation de formation professionnelle en qualité d’assistante du commerce de détail. Elle a ensuite continué son activité professionnelle jusqu’en 2021 lors de stages dans le commerce de détail. L’G______ atteste qu’elle est une employée polie, calme et réservée, toujours ponctuelle et assidue, il ne pouvait qu’affirmer leur satisfaction à l’avoir comme apprentie. Rappelons également que quand bien même elle a donné naissance à son fils B______ le 30 janvier 2016, elle a tout de même continué sa formation professionnelle, alors qu’elle était devenue mère à l’âge de 17 ans. Selon ses propres déclarations, sa difficulté à trouver du travail résulterait de son statut précaire en Suisse, on relèvera aussi, encore une fois, que la recourante est mère célibataire, ce qui complique ses recherches d’emplois, du fait qu’elle s’occupe seule d’un enfant, puisque le père de celui-ci n’est présent ni</w:t>
      </w:r>
    </w:p>
    <w:p>
      <w:r>
        <w:t>- 25/27 - A/3042/2023 dans sa vie, ni dans celle de son enfant. De plus, la recourante a allégué lors de sa comparution personnelle devant le tribunal que la décision de l’OCPM l’avait particulièrement atteinte et l’avait bloquée dans ses recherches d’emplois. Le tribunal constatera qu’à la suite de cette comparution, la recourante a fait de nombreux efforts, en postulant à diverses offres d’emplois, notamment en contactant le CSP, afin de constituer un plan de désendettement, ce qui démontre qu’elle met tout en place pour pouvoir rembourser ses dettes dès qu’elle aura trouvé du travail. Bien que, comme rappelé ci-dessus, il ne s’agit pas d’une intégration que l’on peut qualifier d’exceptionnelle, il sied de constater que la recourante a longuement travaillé en Suisse de manière tout à fait satisfaisante pour ses employeurs et qu’elle fait actuellement tous les efforts possibles pour trouver un emploi. Concernant les conséquences qu’auraient pour la recourante son retour dans son pays d’origine, la décision litigieuse passe sous silence le fait que, d’une part, elle n’a séjourné dans son pays d’origine que durant deux ans au total soit de sa naissance à l’âge de deux ans et pour des vacances une seule fois avec son fils en 2018, voire deux selon ses dires lors de l’audience de comparution personnelle. Du fait de sa présence en Suisse depuis 2002, force est de constater que la recourante a passé son enfance, son adolescence et le début de sa vie d’adulte en Suisse. C’est dans ce pays que la recourante, en passant par un parcours en primaire et ensuite par un apprentissage en tant qu’assistante de commerce, s’est construite, depuis tout du moins l’âge de neuf ans, et qu’elle a également donné naissance à l’âge de 17 ans à son fils B______, âgé actuellement de 9 ans. Ainsi, la renvoyer en RDC, la mènerait à être confrontée à un pays dont elle ne connait pas les us et coutumes et dans lequel elle n’a ni parenté, ni ressource à l’heure actuelle. À cela s'ajoute qu'un tel renvoi aurait pour conséquence encore de la séparer de son frère aîné, avec qui elle réside à Genève et qui est au bénéfice d’un permis de séjour. De plus, il convient de prendre en compte sa situation particulièrement vulnérable en tant que jeune mère célibataire, qui complique d’autant plus son renvoi dans un pays qui lui est presque entièrement étranger et qui au surplus se trouve dans une situation très instable actuellement comme en attestent divers articles de presse. S’agissant de l’intérêt supérieur de l’enfant B______, celui-ci est né en Suisse et est actuellement en classe primaire ; il est inscrit au T______ FOOTBALL CLUB. Il est allé dans son pays d’origine à une seule reprise quand il avait deux ans. Ainsi, l’y renvoyer constituerait un déracinement fort puisque ce dernier lui est presque entièrement étranger. Il découle de l’ensemble des circonstances, qui n’ont pas toutes été prise en compte par l’OCPM et encore moins appréciées dans leur globalité dans la décision litigieuse, que celui-ci a mésusé de son pouvoir d’appréciation, ce qui a abouti à un résultat choquant.</w:t>
      </w:r>
    </w:p>
    <w:p>
      <w:r>
        <w:rPr>
          <w:b/>
        </w:rPr>
        <w:t>E. 21</w:t>
      </w:r>
    </w:p>
    <w:p>
      <w:r>
        <w:t>Au vu de ce qui précède, bien fondé, le recours sera admis, la décision litigieuse annulée et le dossier renvoyé à l’OCPM afin qu’il préavise favorablement la</w:t>
      </w:r>
    </w:p>
    <w:p>
      <w:r>
        <w:t>- 26/27 - A/3042/2023 demande d’autorisation de séjour de la recourante et de son fils B______ à l’attention du SEM.</w:t>
      </w:r>
    </w:p>
    <w:p>
      <w:r>
        <w:rPr>
          <w:b/>
        </w:rPr>
        <w:t>E. 22</w:t>
      </w:r>
    </w:p>
    <w:p>
      <w:r>
        <w:t>Vu l’issue du litige, aucun émolument ne sera mis à la charge de la recourante, qui obtient gain de cause, et une indemnité de procédure de CHF 1'000.-, à la charge de l’État de Genève, soit pour lui l’autorité intimée, sera allouée à la recourante (art. 87 al. 2 à 4 LPA et 6 du règlement sur les frais, émoluments et indemnités en procédure administrative du 30 juillet 1986 - RFPA - E 5 10.03).</w:t>
      </w:r>
    </w:p>
    <w:p>
      <w:r>
        <w:rPr>
          <w:b/>
        </w:rPr>
        <w:t>E. 23</w:t>
      </w:r>
    </w:p>
    <w:p>
      <w:r>
        <w:t>En vertu des art. 89 al. 2 et 111 al. 2 de la loi sur le Tribunal fédéral du 17 juin 2005 (LTF - RS 173.110), le présent jugement sera communiqué au secrétariat d’État aux migrations.</w:t>
      </w:r>
    </w:p>
    <w:p>
      <w:r>
        <w:t>- 27/27 - A/3042/2023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