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JTAPI/692/2024 vom 12. September 2017</w:t>
      </w:r>
    </w:p>
    <w:p>
      <w:r>
        <w:t>GE Cour de justice, 2017-09-12, FR</w:t>
      </w:r>
    </w:p>
    <w:p>
      <w:r>
        <w:rPr>
          <w:b/>
        </w:rPr>
        <w:t xml:space="preserve">Quelle: </w:t>
      </w:r>
      <w:r>
        <w:t>https://mcp.opencaselaw.ch/entscheid/ge_gerichte_JTAPI_692_2024</w:t>
      </w:r>
    </w:p>
    <w:p>
      <w:r>
        <w:t>FR: GE_GERICHTE JTAPI/692/2024 du 12 septembre 2017</w:t>
      </w:r>
    </w:p>
    <w:p>
      <w:r>
        <w:t>IT: GE_GERICHTE JTAPI/692/2024 del 12 settembre 2017</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- 9/15 - A/1093/2024</w:t>
      </w:r>
    </w:p>
    <w:p>
      <w:r>
        <w:rPr>
          <w:b/>
        </w:rPr>
        <w:t>E. 5</w:t>
      </w:r>
    </w:p>
    <w:p>
      <w:r>
        <w:t>L'objet du litige concerne la décision prise par l'autorité intimée le 4 mars 2024, refusant d'entrer en matière sur la demande par laquelle le recourant, le 13 février 2024, a sollicité la reconsidération de la décision rendue par cette même autorité le 24 mai 2022.</w:t>
      </w:r>
    </w:p>
    <w:p>
      <w:r>
        <w:rPr>
          <w:b/>
        </w:rPr>
        <w:t>E. 6</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(ATA/355/2011 du 31 mai 2011 consid. 4e et les références citées ; cf. également Thierry TANQUEREL, op. cit., n. 1414 ss pp. 476 ss). 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ATA/539/2020du 29 mai 2020 consid. 5c ; Thierry TANQUEREL, op. cit., n. 1417 p. 477).</w:t>
      </w:r>
    </w:p>
    <w:p>
      <w:r>
        <w:rPr>
          <w:b/>
        </w:rPr>
        <w:t>E. 7</w:t>
      </w:r>
    </w:p>
    <w:p>
      <w:r>
        <w:t>Il n'existe en principe pas de droit non seulement à une nouvelle décision, mais déjà à ce que l'autorité saisie procède à un nouvel examen de la situation (ATA/355/2011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 de l'autorité qu'elle procède à un nouvel examen (ATA/539/2020 du 29 mai 2020 consid. 5c ; ATA/830/2016 du 4 octobre 2016 consid. 2a). La jurisprudence a en effet déduit des garanties générales de procédure de l'art. 29 al. 1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w:t>
      </w:r>
    </w:p>
    <w:p>
      <w:r>
        <w:t>- 10/15 - A/1093/2024 Lorsque des motifs de cette nature sont établis, l'autorité est donc tenue d'entrer en matière (Pierre MOOR/Étienne POLTIER, Droit administratif, vol. II, 3ème éd., 2011, ch. 2.4.4.2 p. 399).</w:t>
      </w:r>
    </w:p>
    <w:p>
      <w:r>
        <w:rPr>
          <w:b/>
        </w:rPr>
        <w:t>E. 7.2</w:t>
      </w:r>
    </w:p>
    <w:p>
      <w:r>
        <w:t>; 2C_883/2018 du 21 mars 2019 consid. 4.4 ; 2C_556/2018 du 14 novembre 2018 consid. 3 ; 2C_198/2018 du 25 juin 2018 consid. 3.3).</w:t>
      </w:r>
    </w:p>
    <w:p>
      <w:r>
        <w:rPr>
          <w:b/>
        </w:rPr>
        <w:t>E. 8</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9</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10</w:t>
      </w:r>
    </w:p>
    <w:p>
      <w:r>
        <w:t>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w:t>
      </w:r>
    </w:p>
    <w:p>
      <w:r>
        <w:rPr>
          <w:b/>
        </w:rPr>
        <w:t>E. 15</w:t>
      </w:r>
    </w:p>
    <w:p>
      <w:r>
        <w:t>En droit des étrangers, le résultat est identique que l'on parle de demande de réexamen ou de nouvelle demande d'autorisation : l'autorité administrative, laquelle</w:t>
      </w:r>
    </w:p>
    <w:p>
      <w:r>
        <w:t>- 12/15 - A/1093/2024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du 5 novembre 2019 consid. 3e ; ATA/1244/2019 13 août 2019 consid. 5b). 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(ATA/539/2020 du 29 mai 2020 consid. 4b ; ATA/1818/2019 du 17 décembre 2019 consid. 2b). Le fait d'invoquer des faits nouveaux résultant pour l'essentiel de l'écoulement du temps, que le recourant a largement favorisé, peut d'ailleurs être reconnu comme un procédé dilatoire (cf. arrêt du Tribunal fédéral 2A.271/2004 du 7 octobre 2004).</w:t>
      </w:r>
    </w:p>
    <w:p>
      <w:r>
        <w:rPr>
          <w:b/>
        </w:rPr>
        <w:t>E. 16</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(ATA/291/2017 du 14 mars 2017 consid. 4).</w:t>
      </w:r>
    </w:p>
    <w:p>
      <w:r>
        <w:rPr>
          <w:b/>
        </w:rPr>
        <w:t>E. 17</w:t>
      </w:r>
    </w:p>
    <w:p>
      <w:r>
        <w:t>En l'espèce, le recourant fonde sa demande de reconsidération sur l'existence d'un prétendu moyen de preuve nouveau censé établir a posteriori son innocence dans la procédure pénale qui a abouti à sa condamnation par le MP le 13 novembre 2021. Il produit à cet effet un courrier de son employeur daté du 8 février 2024, lequel expose en particulier que les documents, notamment les contrats de travail et les fiches de salaire sur la base desquels il a été condamné, comprendraient des erreurs ou des imprécisions commises par son propre personnel administratif, de sorte que M. A______ n'en était pas l'auteur et partant n'avait pas commis de faux dans les titres. Or ce courrier ne saurait avoir la portée que lui prête le recourant. En effet, il résulte de la décision dont il sollicite la reconsidération que l'OCPM s'est notamment fondé sur l'ordonnance pénale du 13 novembre 2021, qui a reconnu le recourant coupable notamment de faux dans les titres et de comportement frauduleux à l'égard des autorités, ordonnance pénale qu'il n'a pas contestée en temps voulu de sorte qu'elle est en force. Si comme le prétend aujourd'hui le recourant, le MP s'était basé sur des faits erroné, il aurait pu, dans le cadre de la procédure d'opposition, solliciter l'audition de son employeur ou produire une</w:t>
      </w:r>
    </w:p>
    <w:p>
      <w:r>
        <w:t>- 13/15 - A/1093/2024 attestation de ce dernier, qui avec le minimum de diligence requise, aurait pu être établie sans grande difficulté à ce moment. On relèvera en outre que contrairement à ce qu'il laisse entendre aujourd'hui, il était assisté d'un avocat de choix et un traducteur était présent lors de son audition devant la police en novembre 2021. Par ailleurs, l'ordonnance pénale du 13 novembre 2021 lui a été dûment traduite, de sorte qu'il ne saurait invoquer valablement qu'il n'en n'aurait pas saisi toute la portée. Il sera également noté que le recourant qui était représenté par un avocat dans le cadre de la procédure de recours devant le tribunal de céans puis devant la chambre administrative contre la décision du 24 mai 2022 n'a pas non plus remis en question les faits à la base de sa condamnation. Par conséquent, la lettre de son employeur fournie à l'appui de sa demande de reconsidération, qui aurait pu être aussi bien produite devant le MP ou dans le cadre d'une opposition devant le Tribunal de police, ne constitue pas un nouveau moyen de preuve obligeant l'OCPM d'entrer en matière sur ladite demande de reconsidération. C'est donc de manière parfaitement fondée que l'autorité intimée a refusé d'entrer en matière sur la demande de reconsidération du recourant pour ce premier motif.</w:t>
      </w:r>
    </w:p>
    <w:p>
      <w:r>
        <w:rPr>
          <w:b/>
        </w:rPr>
        <w:t>E. 18</w:t>
      </w:r>
    </w:p>
    <w:p>
      <w:r>
        <w:t>S'agissant des nouvelles circonstances, le recourant invoque la durée de son séjour en Suisse, soit une période de quinze ans qu'il considère comme la plus marquante pour le développement de sa personnalité et également son intégration sociale ainsi que le fait que sa femme et ses deux enfants auraient déposé une demande d'autorisation de séjour. Force est cependant de constater que le changement des circonstances depuis la décision du 24 mai 2022, n'est dû qu'à l'obstination du recourant à demeurer en Suisse malgré la décision de renvoi définitive et exécutoire. Or son refus de se soumettre à l'ordre juridique suisse et de quitter ce pays comme il aurait dû le faire le 17 janvier 2024, dans le nouveau délai de départ fixé par l'OCPM, ne saurait être pris en considération comme une preuve de sa bonne intégration. À l'évidence, cette argumentation va à l'encontre de la jurisprudence rappelée plus haut et ne peut qu'être rejetée. Enfin, le fait que sa femme et ses deux enfants auraient déposé une demande d'autorisation de séjour, ce qui n'est au demeurant pas établi, ne permet à ce stade pas une autre conclusion.</w:t>
      </w:r>
    </w:p>
    <w:p>
      <w:r>
        <w:rPr>
          <w:b/>
        </w:rPr>
        <w:t>E. 19</w:t>
      </w:r>
    </w:p>
    <w:p>
      <w:r>
        <w:t>C'est donc à raison que l'autorité intimée a refusé d'entrer en matière sur la demande de reconsidération du 9 février 2024, de sorte que l'examen du litige s'arrête à ce constat, conformément aux principes rappelés ci-dessus.</w:t>
      </w:r>
    </w:p>
    <w:p>
      <w:r>
        <w:rPr>
          <w:b/>
        </w:rPr>
        <w:t>E. 20</w:t>
      </w:r>
    </w:p>
    <w:p>
      <w:r>
        <w:t>Le recours sera ainsi rejeté.</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650.- ; il est partiellement couvert par l’avance de frais de CHF 500.- versée</w:t>
      </w:r>
    </w:p>
    <w:p>
      <w:r>
        <w:t>- 14/15 - A/1093/2024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- 15/15 - A/1093/2024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