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JTAPI/68/2022 vom 26. Januar 2022</w:t>
      </w:r>
    </w:p>
    <w:p>
      <w:r>
        <w:t>GE Cour de justice, 2022-01-26, FR</w:t>
      </w:r>
    </w:p>
    <w:p>
      <w:r>
        <w:rPr>
          <w:b/>
        </w:rPr>
        <w:t xml:space="preserve">Quelle: </w:t>
      </w:r>
      <w:r>
        <w:t>https://mcp.opencaselaw.ch/entscheid/ge_gerichte_JTAPI_68_2022</w:t>
      </w:r>
    </w:p>
    <w:p>
      <w:r>
        <w:t>FR: GE_GERICHTE JTAPI/68/2022 du 26 janvier 2022</w:t>
      </w:r>
    </w:p>
    <w:p>
      <w:r>
        <w:t>IT: GE_GERICHTE JTAPI/68/2022 del 26 gennaio 2022</w:t>
      </w:r>
    </w:p>
    <w:p>
      <w:pPr>
        <w:pStyle w:val="Heading2"/>
      </w:pPr>
      <w:r>
        <w:t>Erwägungen</w:t>
      </w:r>
    </w:p>
    <w:p>
      <w:r>
        <w:rPr>
          <w:b/>
        </w:rPr>
        <w:t>E. 1</w:t>
      </w:r>
    </w:p>
    <w:p>
      <w:r>
        <w:t>Le Tribunal administratif de première instance connaît des recours dirigés, comme en l’espèce, contre les décisions du département de la sécurité, de la population et de la santé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- 7/11 - A/1235/2021</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5</w:t>
      </w:r>
    </w:p>
    <w:p>
      <w:r>
        <w:t>Le recourant, de nationalité française, conteste la révocation de son autorisation d’établissement par le département.</w:t>
      </w:r>
    </w:p>
    <w:p>
      <w:r>
        <w:rPr>
          <w:b/>
        </w:rPr>
        <w:t>E. 6</w:t>
      </w:r>
    </w:p>
    <w:p>
      <w:r>
        <w:t>La LEI ne s'applique aux ressortissants des États membres de l'Union européenne que lorsque l’ALCP n'en dispose pas autrement ou lorsqu'elle prévoit des dispositions plus favorables (art. 2 al. 2 LEI). En principe, comme l'ALCP ne réglemente pas la révocation de l'autorisation d'établissement UE/AELE, c'est l'art. 63 LEI qui est applicable (art. 23 al. 2 de l'ordonnance fédérale du 22 mai 2002 sur l'introduction progressive de la libre circulation des personnes entre, d'une part, la Confédération suisse et, d'autre part, l'Union européenne et ses États membres, ainsi qu'entre les États membres de l'Association européenne de libre- échange – OLCP – RS 142.203).</w:t>
      </w:r>
    </w:p>
    <w:p>
      <w:r>
        <w:rPr>
          <w:b/>
        </w:rPr>
        <w:t>E. 7</w:t>
      </w:r>
    </w:p>
    <w:p>
      <w:r>
        <w:t>L'ALCP prévoit un régime plus favorable que celui de l'art. 63 al. 1 let. c LEI (sous réserve de l'art. 63 al. 2 LEI) en faveur du travailleur salarié au bénéfice d'un permis de séjour UE/AELE exerçant une activité salariée en Suisse en ce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 2 Annexe I ALCP ; arrêt du Tribunal fédéral 2C_412/2014 du 27 mai 2014 consid. 3.2 et les références citées). En revanche, la perte du statut de travailleur ALCP met fin à l'égalité de traitement prévue par l'art. 9 Annexe I ALCP et donc au régime plus favorable sous cet angle de l'ALCP.</w:t>
      </w:r>
    </w:p>
    <w:p>
      <w:r>
        <w:t>- 8/11 - A/1235/2021</w:t>
      </w:r>
    </w:p>
    <w:p>
      <w:r>
        <w:rPr>
          <w:b/>
        </w:rPr>
        <w:t>E. 8</w:t>
      </w:r>
    </w:p>
    <w:p>
      <w:r>
        <w:t>Le Tribunal fédéral a rappelé (arrêt 2C_669/2015 du 30 mars 2016 consid. 5.3.1 et 5.3.2 et les réf.), que la Cour de Justice 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aucun motif de principe ne s'oppose à ce que des activités rémunérées proposées aux bénéficiaires de l'aide sociale dans un but de réinsertion sur le marché général de l'emploi soient qualifiées de réelles et effectives.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l'État membre de résidence, pourvu que la réalité et l'effectivité de l'activité soient établies. La qualité de travailleur selon l'ALCP s'applique ainsi également aux « working poor », c'est-à-dire aux travailleurs qui, bien qu'exerçant une activité réelle et effective, touchent un revenu qui ne suffit pas pour vivre ou faire vivre leur famille dans l'État d'accueil.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w:t>
      </w:r>
    </w:p>
    <w:p>
      <w:r>
        <w:t>- 9/11 - A/1235/2021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À cet égard, le Tribunal fédéral a eu l'occasion de préciser qu'un travail exercé au taux de 80 % pour un salaire mensuel de CHF 2'532.65 ne représentait pas un emploi à tel point réduit ou une rémunération si basse qu'il s'agirait d'une activité purement marginale et accessoire sortant du champ d'application de l'art. 6 annexe I ALCP (arrêt 2C_1061/2013 du 14 juillet 2015 consid. 4.4). En revanche, il a considéré qu'une activité à taux partiel donnant lieu à un salaire mensuel d'environ CHF 600.- à CHF 800.- apparaissait tellement réduite et peu rémunératrice qu'elle devait être tenue pour marginale et accessoire (arrêt 2C_1137/2015 du 6 août 2015 consid. 4.4).</w:t>
      </w:r>
    </w:p>
    <w:p>
      <w:r>
        <w:rPr>
          <w:b/>
        </w:rPr>
        <w:t>E. 9</w:t>
      </w:r>
    </w:p>
    <w:p>
      <w:r>
        <w:t>En l’occurrence, dans sa réplique du 13 juin 2021, le recourant indique qu’il occupe à nouveau un emploi à mi-temps depuis le 1er juin précédent. Ce faisant, il se prévaut implicitement de sa qualité de travailleur au sens de l’ALCP pour s’opposer à la révocation de son autorisation d’établissement. Le contrat de travail conclu pour une durée maximale de quatre mois – à savoir du 1er mai au 31 août 2019 – ne permet pas, compte tenu de la brève durée de la période d’activité, de retenir que, durant cet intervalle, le recourant avait la qualité de travailleur au sens de l’ALCP. Le 1er juin 2021 il a été embauché par G______ Sàrl en qualité d’employé polyvalent/livreur pour une durée indéterminée moyennant un salaire horaire brut de CHF 26.31, le temps d’essai se montant à trois mois. Il résulte des pièces du dossier qu’il n’a travaillé pour cette entreprise que durant les mois de juin et de juillet. S’agissant des périodes suivantes, il n’allègue pas – et ne démontre encore moins – qu’il aurait exercé une quelconque activité lucrative réelle et effective lui permettant de réaliser un revenu suffisant. Il s’ensuit que la qualité de travailleur au sens de l’ALCP doit lui être déniée.</w:t>
      </w:r>
    </w:p>
    <w:p>
      <w:r>
        <w:rPr>
          <w:b/>
        </w:rPr>
        <w:t>E. 10</w:t>
      </w:r>
    </w:p>
    <w:p>
      <w:r>
        <w:t>Le recourant allègue en outre qu’il entend déménager dans le canton de K______ afin, notamment, d’exercer de manière plus régulière son droit de visite sur sa fille, qui possède sa nationalité suisse.</w:t>
      </w:r>
    </w:p>
    <w:p>
      <w:r>
        <w:rPr>
          <w:b/>
        </w:rPr>
        <w:t>E. 11</w:t>
      </w:r>
    </w:p>
    <w:p>
      <w:r>
        <w:t>Un étranger peut, selon les circonstances, se prévaloir du droit au respect de sa vie privée et familiale au sens de l'art. 8 § 1 de la Convention de sauvegarde des droits de l'homme et des libertés fondamentales du 4 novembre 1950 (CEDH - RS 0.101)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w:t>
      </w:r>
    </w:p>
    <w:p>
      <w:r>
        <w:t>- 10/11 - A/1235/2021 délivrance de laquelle la législation suisse confère un droit certain (ATF 130 II 281 consid. 3.1). Les relations visées à l'art. 8 CEDH sont avant tout celles qui existent entre époux, ainsi que les relations entre parents et enfants mineurs vivant en ménage commun (ATF 127 II 60 consid. 1d/aa).</w:t>
      </w:r>
    </w:p>
    <w:p>
      <w:r>
        <w:rPr>
          <w:b/>
        </w:rPr>
        <w:t>E. 12</w:t>
      </w:r>
    </w:p>
    <w:p>
      <w:r>
        <w:t>En l’occurrence, le tribunal doute fort que le recourant ait jamais entretenu des relations personnelles avec sa fille. L’intéressé ne l’a de toute manière pas démontré. De surcroît, il n’a jamais versé de contribution d’entretien en sa faveur – alors qu’il s’y était engagé par convention du 16 février 2004 conclue avec la mère de celle-ci – preuve en sont les quatre prononcés pénaux le condamnant pour violation d’une obligation d’entretien et dont il résulte que cette infraction a été commise du 1er avril 2004 au 30 juin 2015. Force est de constater qu’il s’est totalement désintéressé de son enfant depuis la naissance de celle-ci. En conséquence, il ne peut tirer aucun droit de l’art. 8 CEDH en vue de séjourner en Suisse.</w:t>
      </w:r>
    </w:p>
    <w:p>
      <w:r>
        <w:rPr>
          <w:b/>
        </w:rPr>
        <w:t>E. 13</w:t>
      </w:r>
    </w:p>
    <w:p>
      <w:r>
        <w:t>Il résulte de ce qui précède que c’est à juste titre que le département a révoqué l’autorisation d’établissement du recourant.</w:t>
      </w:r>
    </w:p>
    <w:p>
      <w:r>
        <w:rPr>
          <w:b/>
        </w:rPr>
        <w:t>E. 14</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15</w:t>
      </w:r>
    </w:p>
    <w:p>
      <w:r>
        <w:t>Le renvoi constitue la conséquence logique et inéluctable du rejet d'une demande d'autorisation, l'autorité ne disposant à ce titre d'aucun pouvoir d'appréciation (ATA/1118/2020 du 10 novembre 2020 consid. 11a).</w:t>
      </w:r>
    </w:p>
    <w:p>
      <w:r>
        <w:rPr>
          <w:b/>
        </w:rPr>
        <w:t>E. 16</w:t>
      </w:r>
    </w:p>
    <w:p>
      <w:r>
        <w:t>En l'espèce, dès lors qu’elle a révoqué l'autorisation d'établissement du recourant, l’autorité intimée devait ordonner son renvoi de Suisse, aucun élément ne laissant pour le surplus supposer que l'exécution de cette mesure ne serait pas possible, pas licite ou qu'elle ne pourrait être raisonnablement exigée (art. 83 LEI), ce qu'il ne fait au demeurant pas valoir.</w:t>
      </w:r>
    </w:p>
    <w:p>
      <w:r>
        <w:rPr>
          <w:b/>
        </w:rPr>
        <w:t>E. 17</w:t>
      </w:r>
    </w:p>
    <w:p>
      <w:r>
        <w:t>Ne reposant sur aucun motif valable, le recours doit être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19</w:t>
      </w:r>
    </w:p>
    <w:p>
      <w:r>
        <w:t>En vertu des art. 89 al. 2 et 111 al. 2 de la loi sur le Tribunal fédéral du 17 juin 2005 (LTF - RS 173.110), le présent jugement sera communiqué au secrétariat d'État aux migrations.</w:t>
      </w:r>
    </w:p>
    <w:p>
      <w:r>
        <w:t>- 11/11 - A/1235/2021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