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JTAPI/687/2024 vom 10. Juli 2024</w:t>
      </w:r>
    </w:p>
    <w:p>
      <w:r>
        <w:t>GE Cour de justice, 2024-07-10, FR</w:t>
      </w:r>
    </w:p>
    <w:p>
      <w:r>
        <w:rPr>
          <w:b/>
        </w:rPr>
        <w:t xml:space="preserve">Quelle: </w:t>
      </w:r>
      <w:r>
        <w:t>https://mcp.opencaselaw.ch/entscheid/ge_gerichte_JTAPI_687_2024</w:t>
      </w:r>
    </w:p>
    <w:p>
      <w:r>
        <w:t>FR: GE_GERICHTE JTAPI/687/2024 du 10 juillet 2024</w:t>
      </w:r>
    </w:p>
    <w:p>
      <w:r>
        <w:t>IT: GE_GERICHTE JTAPI/687/2024 del 10 luglio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rPr>
          <w:b/>
        </w:rPr>
        <w:t>E. 5</w:t>
      </w:r>
    </w:p>
    <w:p>
      <w:r>
        <w:t>Selon l'art. 87 al. 1 LPA, la juridiction administrative qui rend la décision statue sur les frais de procédure et émoluments. En règle générale, l’Etat, les communes et les institutions de droit public ne peuvent se voir imposer de frais de procédure si leurs décisions font l’objet d’un recours.</w:t>
      </w:r>
    </w:p>
    <w:p>
      <w:r>
        <w:rPr>
          <w:b/>
        </w:rPr>
        <w:t>E. 6</w:t>
      </w:r>
    </w:p>
    <w:p>
      <w:r>
        <w:t>Selon l'art. 87 al. 2 LPA, la juridiction administrative peut, sur requête, allouer à la partie ayant entièrement ou partiellement gain de cause, une indemnité pour les frais indispensables causés par le recours.</w:t>
      </w:r>
    </w:p>
    <w:p>
      <w:r>
        <w:rPr>
          <w:b/>
        </w:rPr>
        <w:t>E. 7</w:t>
      </w:r>
    </w:p>
    <w:p>
      <w:r>
        <w:t>Aux termes de l'art. 89 LPA, le retrait du recours met fin à la procédure (al. 1). La juridiction administrative fixe les frais de procédure, émoluments et indemnités (al. 3).</w:t>
      </w:r>
    </w:p>
    <w:p>
      <w:r>
        <w:rPr>
          <w:b/>
        </w:rPr>
        <w:t>E. 8</w:t>
      </w:r>
    </w:p>
    <w:p>
      <w:r>
        <w:t>Selon la chambre administrative de la Cour de justice, la juridiction saisie dispose d’un large pouvoir d’appréciation quant à la quotité de l’indemnité allouée et celle- ci ne constitue qu’une participation aux honoraires (ATA/769/2016 et les références citées).</w:t>
      </w:r>
    </w:p>
    <w:p>
      <w:r>
        <w:t>Pour déterminer le montant de l’indemnité, il convient donc de prendre en compte les différents actes d’instruction ainsi que le nombre d’échanges d’écritures et d’audiences.</w:t>
      </w:r>
    </w:p>
    <w:p>
      <w:r>
        <w:t>Quant au montant retenu, il devait intégrer l’importance et la pertinence des écritures produites et, de manière générale, la complexité de l’affaire (ATA/769/2016).</w:t>
      </w:r>
    </w:p>
    <w:p>
      <w:r>
        <w:rPr>
          <w:b/>
        </w:rPr>
        <w:t>E. 9</w:t>
      </w:r>
    </w:p>
    <w:p>
      <w:r>
        <w:t>En l’espèce, dans la décision du 22 mai 2024, le tribunal a condamné le département au versement d’une indemnité de procédure de CHF 1'200.- en faveur de M. A______ et B______ SA.</w:t>
      </w:r>
    </w:p>
    <w:p>
      <w:r>
        <w:t>- 4/5 - A/1501/2024 Or, dans la mesure où M. A______ et B______ SA ont expressément renoncé au versement d’une telle indemnité dans leur courrier du 16 mai 2024 et s’en rapportent à justice quant à la suite donnée à la réclamation, le versement d’une telle indemnité n’apparait pas justifiée. Ce qui précède conduit à l’admission de la réclamation.</w:t>
      </w:r>
    </w:p>
    <w:p>
      <w:r>
        <w:rPr>
          <w:b/>
        </w:rPr>
        <w:t>E. 10</w:t>
      </w:r>
    </w:p>
    <w:p>
      <w:r>
        <w:t>Conformément à la pratique constante de la juridiction de céans, aucun émolument ne sera perçu dans la présente cause (ATA/769/2016 et les références citées), ni aucune indemnité de procédure allouée.</w:t>
      </w:r>
    </w:p>
    <w:p>
      <w:r>
        <w:t>- 5/5 - A/1501/2024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