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JTAPI/684/2025 vom 24. März 2023</w:t>
      </w:r>
    </w:p>
    <w:p>
      <w:r>
        <w:t>GE Cour de justice, 2023-03-24, FR</w:t>
      </w:r>
    </w:p>
    <w:p>
      <w:r>
        <w:rPr>
          <w:b/>
        </w:rPr>
        <w:t xml:space="preserve">Quelle: </w:t>
      </w:r>
      <w:r>
        <w:t>https://mcp.opencaselaw.ch/entscheid/ge_gerichte_JTAPI_684_2025</w:t>
      </w:r>
    </w:p>
    <w:p>
      <w:r>
        <w:t>FR: GE_GERICHTE JTAPI/684/2025 du 24 mars 2023</w:t>
      </w:r>
    </w:p>
    <w:p>
      <w:r>
        <w:t>IT: GE_GERICHTE JTAPI/684/2025 del 24 marzo 2023</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cf. aussi ATA/172/2012 du 27 mars 2012 ; ATA/363/2011 du 7 juin 2011). 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w:t>
      </w:r>
    </w:p>
    <w:p>
      <w:r>
        <w:t>- 8/11 - A/2909/2024 violation des règles de la circulation (ATF 136 II 447 consid. 3.1 ; 129 II 312 consid. 2.4 ; 123 II 97 consid. 3c/aa ; 119 Ib 158 consid. 3c/aa ; 105 Ib</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1C_245/2010 du</w:t>
      </w:r>
    </w:p>
    <w:p>
      <w:r>
        <w:rPr>
          <w:b/>
        </w:rPr>
        <w:t>E. 3.6</w:t>
      </w:r>
    </w:p>
    <w:p>
      <w:r>
        <w:t>p. 295 et les références citées; arrêt 6B_69/2017 du 28 novembre 2017 consid. 2.2.1).</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- 6/11 - A/2909/2024</w:t>
      </w:r>
    </w:p>
    <w:p>
      <w:r>
        <w:rPr>
          <w:b/>
        </w:rPr>
        <w:t>E. 4.1</w:t>
      </w:r>
    </w:p>
    <w:p>
      <w:r>
        <w:t>; 2C_1004/2018 du 11 juin 2019 consid. 5.2.1 ; 2C_1125/2018 du 7 janvier 2019 consid. 5.1 ; ATA/672/2021 du 29 juin 2021 consid. 3b).</w:t>
      </w:r>
    </w:p>
    <w:p>
      <w:r>
        <w:rPr>
          <w:b/>
        </w:rPr>
        <w:t>E. 5</w:t>
      </w:r>
    </w:p>
    <w:p>
      <w:r>
        <w:t>Le recourant sollicite préalablement sa comparution personnelle, ainsi que l’audition des deux agents de police présents au moment des faits, afin « d’établir ce qui a été observé ».</w:t>
      </w:r>
    </w:p>
    <w:p>
      <w:r>
        <w:rPr>
          <w:b/>
        </w:rPr>
        <w:t>E. 6</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w:t>
      </w:r>
    </w:p>
    <w:p>
      <w:r>
        <w:rPr>
          <w:b/>
        </w:rPr>
        <w:t>E. 7</w:t>
      </w:r>
    </w:p>
    <w:p>
      <w:r>
        <w:t>En l’occurrence, le dossier en possession du tribunal, soit notamment l’ordonnance pénale du 4 avril 2024 et le rapport de contravention du 5 mars 2024, contient les éléments suffisants et nécessaires à l’examen des griefs et pour trancher le litige. Comme cela sera développé ci-après, l’audition des agents de police ne se révèle nullement nécessaire puisque les faits sont établis par l’issue de la procédure pénale, le tribunal de céans n’ayant pas vocation à mener une instruction que le recourant a renoncé à solliciter auprès des instances pénales, comme on le verra plus loin. Au demeurant, il faut rappeler que les constatations figurant dans un rapport de police, établi par des agents assermentés, ont une valeur probante accrue (cf. ATA/1411/2017 du 17 octobre 2017 ; ATA/73/2017 du 31 janvier 2017 ; ATA/902/2016 du 25 octobre 2016 ; ATA/99/2014 du 18 février 2014). S’agissant de sa comparution personnelle, le recourant a pu développer son argumentation dans son recours et produire les pièces justificatives qu’il estimait</w:t>
      </w:r>
    </w:p>
    <w:p>
      <w:r>
        <w:t>- 7/11 - A/2909/2024 utiles, sans que l’on voie en quoi ses explications données de manière orale auraient une valeur probante plus importante que celles qu’il a donné par écrit. Les actes d’instruction sollicités, en soi non obligatoires, ne se révélant pas nécessaires, il n’y sera donc pas donné suite.</w:t>
      </w:r>
    </w:p>
    <w:p>
      <w:r>
        <w:rPr>
          <w:b/>
        </w:rPr>
        <w:t>E. 8</w:t>
      </w:r>
    </w:p>
    <w:p>
      <w:r>
        <w:t>Le recourant conteste avoir commis une violation à la LCR. Il s’en prend aux faits qui ont été retenu par le service des contraventions.</w:t>
      </w:r>
    </w:p>
    <w:p>
      <w:r>
        <w:rPr>
          <w:b/>
        </w:rPr>
        <w:t>E. 9</w:t>
      </w:r>
    </w:p>
    <w:p>
      <w:r>
        <w:t>Aux termes de l’art. 26 al. 1 LCR, chacun doit se comporter dans la circulation de manière à ne pas gêner ni mettre en danger ceux qui utilisent la route conformément aux règles établies.</w:t>
      </w:r>
    </w:p>
    <w:p>
      <w:r>
        <w:rPr>
          <w:b/>
        </w:rPr>
        <w:t>E. 10</w:t>
      </w:r>
    </w:p>
    <w:p>
      <w:r>
        <w:t>L’art. 31 al. 1 LCR prévoit que le conducteur doit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w:t>
      </w:r>
    </w:p>
    <w:p>
      <w:r>
        <w:rPr>
          <w:b/>
        </w:rPr>
        <w:t>E. 11</w:t>
      </w:r>
    </w:p>
    <w:p>
      <w:r>
        <w:t>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w:t>
      </w:r>
    </w:p>
    <w:p>
      <w:r>
        <w:rPr>
          <w:b/>
        </w:rPr>
        <w:t>E. 13</w:t>
      </w:r>
    </w:p>
    <w:p>
      <w:r>
        <w:t>juillet 2010 consid.</w:t>
      </w:r>
    </w:p>
    <w:p>
      <w:r>
        <w:rPr>
          <w:b/>
        </w:rPr>
        <w:t>E. 18</w:t>
      </w:r>
    </w:p>
    <w:p>
      <w:r>
        <w:t>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(art. 16 al. 3 LCR). Selon la jurisprudence du Tribunal fédéral, cette dernière règle s’impose à l’autorité et aux tribunaux sans dérogation possible, même pour tenir compte de besoins professionnels particuliers du conducteur (ATF 132 II 234 consid. 2).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(ATF 135 II 334 consid. 2.2).</w:t>
      </w:r>
    </w:p>
    <w:p>
      <w:r>
        <w:rPr>
          <w:b/>
        </w:rPr>
        <w:t>E. 19</w:t>
      </w:r>
    </w:p>
    <w:p>
      <w:r>
        <w:t>Par jugement du 17 octobre 2022 (JTAPI/1078/2022), le tribunal a confirmé une décision de l’OCV prononçant le retrait du permis de conduire pour une durée d’un mois d’un automobiliste avec antécédents n’ayant pas voué toute l’attention nécessaire à la route et à la circulation en manipulant un téléphone portable et ayant circulé avec deux pneus dans un état insuffisant, retenant après lui qu’il s’agissait d’une infraction légère aux règles de la circulation routière. Il a également retenu des infractions légères au sujet d’automobilistes ayant fait preuve d’inattention en manipulant leur téléphone portable (JTAPI/1020/2022 du 29 septembre 2022 et JTAPI/666/2022 du 23 juin 2022). Des fautes moyennement graves, voire graves ont en revanche été retenues dans des cas d’inattention avec perte de maitrise et/ou accidents (JTAPI/852/2023 du 14 août 2023 ; JTAPI/804/2023 du 21 juillet 2023 ; JTAPI/246/2023 du 6 mars 2023). A également été considérée comme une faute légère provoquant une mise en danger abstraite accrue légère, le fait pour un conducteur d’avoir détourné son attention de la route (sur un trajet de 400 mètres environ) pour regarder le GPS sur l’écran de son téléphone portable (arrêt du 7 juillet 2020 de la Cour de droit administratif et public vaudoise CR.2020.0006).</w:t>
      </w:r>
    </w:p>
    <w:p>
      <w:r>
        <w:rPr>
          <w:b/>
        </w:rPr>
        <w:t>E. 20</w:t>
      </w:r>
    </w:p>
    <w:p>
      <w:r>
        <w:t>En l’espèce, comme vu supra, il est reproché au recourant d’avoir été inattentif à la circulation à la suite de la manipulation de son téléphone portable. Il s’agit d’une faute qui ne peut être qualifiée de moyennement grave. C’est donc à juste titre que</w:t>
      </w:r>
    </w:p>
    <w:p>
      <w:r>
        <w:t>- 10/11 - A/2909/2024 l’OCV l’a qualifié de légère au sens de l’art. 16a al. 1 let. a LCR. C’est également à juste titre qu’il a fait application de l’art. 16a al. 2 LCR et, fixé à un mois la durée du retrait du permis du recourant, dès lors que celui-ci a fait l’objet d’un avertissement, prononcé le 24 mars 2023, soit au cours des deux années précédant l’infraction du 20 février 2024. Il est cependant préoccupant que le recourant minimise sa faute comme il le fait. Le fait que de nombreux conducteurs manipulent leur téléphone portable au volant n’enlève rien au danger qu’un instant d’inattention fait naître. Par ailleurs, étant lié par cette durée, qui constitue le minimum légal incompressible devant sanctionner l’infraction en cause, l’OCV a correctement appliqué les règles en vigueur et n’a pas excédé ou abusé de son pouvoir d’appréciation. En particulier, un éventuel besoin professionnel d’utiliser son véhicule ne permet pas d’alléger la mesure minimale de retrait du permis.</w:t>
      </w:r>
    </w:p>
    <w:p>
      <w:r>
        <w:rPr>
          <w:b/>
        </w:rPr>
        <w:t>E. 21</w:t>
      </w:r>
    </w:p>
    <w:p>
      <w:r>
        <w:t>Mal fondé, le recours doit être rejeté et la décision entreprise confirmée.</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t>- 11/11 - A/2909/2024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