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JTAPI/684/2024 vom 22. September 2020</w:t>
      </w:r>
    </w:p>
    <w:p>
      <w:r>
        <w:t>GE Cour de justice, 2020-09-22, FR</w:t>
      </w:r>
    </w:p>
    <w:p>
      <w:r>
        <w:rPr>
          <w:b/>
        </w:rPr>
        <w:t xml:space="preserve">Quelle: </w:t>
      </w:r>
      <w:r>
        <w:t>https://mcp.opencaselaw.ch/entscheid/ge_gerichte_JTAPI_684_2024</w:t>
      </w:r>
    </w:p>
    <w:p>
      <w:r>
        <w:t>FR: GE_GERICHTE JTAPI/684/2024 du 22 septembre 2020</w:t>
      </w:r>
    </w:p>
    <w:p>
      <w:r>
        <w:t>IT: GE_GERICHTE JTAPI/684/2024 del 22 settembre 2020</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- 4/8 - A/3214/2023</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w:t>
      </w:r>
    </w:p>
    <w:p>
      <w:r>
        <w:rPr>
          <w:b/>
        </w:rPr>
        <w:t>E. 5</w:t>
      </w:r>
    </w:p>
    <w:p>
      <w:r>
        <w:t>Saisi d'un recours, le tribunal applique le droit d'office. S'il ne peut pas aller au-delà des conclusions des parties, il n'est pas lié par les motifs qu'elles invoquent (art. 69 al. 1 LPA ; cf. ATA/117/2016 du 9 février 2016 consid. 2 ; ATA/723/2015 du 14 juillet 2015 consid. 4a ; ATA/585/2015 du 9 juin 2015 ; ATA/285/2013 du</w:t>
      </w:r>
    </w:p>
    <w:p>
      <w:r>
        <w:rPr>
          <w:b/>
        </w:rPr>
        <w:t>E. 7</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8</w:t>
      </w:r>
    </w:p>
    <w:p>
      <w:r>
        <w:t>Pour déterminer la durée et s'il y a lieu de prononcer un retrait d'admonestation, la LCR distingue les infractions légères, moyennement graves et graves (art. 16a à 16c LCR).</w:t>
      </w:r>
    </w:p>
    <w:p>
      <w:r>
        <w:rPr>
          <w:b/>
        </w:rPr>
        <w:t>E. 9</w:t>
      </w:r>
    </w:p>
    <w:p>
      <w:r>
        <w:t>Selon l’art. 16c al. 1 LCR, commet une infraction grave la personne qui, en violant gravement les règles de la circulation met sérieusement en danger la sécurité d’autrui ou en prend le risque (let. a) ou qui conduit un véhicule automobile alors que le permis de conduire lui a été retiré (let. f). En matière d’excès de vitesse, le Tribunal fédéral a maintes fois confirmé qu’un excès de plus de 25 km/h ou plus à l’intérieur d’une localité devait être considéré comme une faute grave (arrêt 1C_210/2020 consid. 2.2 du 30 novembre 2020 et les références citées).</w:t>
      </w:r>
    </w:p>
    <w:p>
      <w:r>
        <w:rPr>
          <w:b/>
        </w:rPr>
        <w:t>E. 10</w:t>
      </w:r>
    </w:p>
    <w:p>
      <w:r>
        <w:t>Ainsi que cela ressort notamment de la formulation de l'art. 16 al. 2 LCR (« une infraction aux prescriptions sur la circulation routière entraîne le retrait ») et de l'art. 16c al. 2 LCR (« le permis de conduire est retiré »), le retrait du permis de conduire est une mesure obligatoire, qui, dès que ses conditions légales sont remplies, doit être ordonnée par l'autorité, laquelle ne dispose d'aucun pouvoir d'appréciation à cet égard et ne saurait dès lors, par exemple, prononcer des</w:t>
      </w:r>
    </w:p>
    <w:p>
      <w:r>
        <w:t>- 5/8 - A/3214/2023 sanctions de substitution à l'encontre du conducteur fautif, d'autant plus si celles-ci ne sont pas prévues par la loi.</w:t>
      </w:r>
    </w:p>
    <w:p>
      <w:r>
        <w:rPr>
          <w:b/>
        </w:rPr>
        <w:t>E. 11</w:t>
      </w:r>
    </w:p>
    <w:p>
      <w:r>
        <w:t>Après une infraction grave, le permis d'élève conducteur ou le permis de conduire est retiré pour trois mois au minimum (art. 16c al. 2 let. a LCR).</w:t>
      </w:r>
    </w:p>
    <w:p>
      <w:r>
        <w:rPr>
          <w:b/>
        </w:rPr>
        <w:t>E. 12</w:t>
      </w:r>
    </w:p>
    <w:p>
      <w:r>
        <w:t>L'art. 16c al. 2 let. c LCR prévoit toutefois que le permis de conduire est retiré pour douze mois au minimum si, au cours des cinq années précédentes, le permis a été retiré une fois en raison d'une infraction grave ou à deux reprises en raison d'infractions moyennement graves.</w:t>
      </w:r>
    </w:p>
    <w:p>
      <w:r>
        <w:rPr>
          <w:b/>
        </w:rPr>
        <w:t>E. 13</w:t>
      </w:r>
    </w:p>
    <w:p>
      <w:r>
        <w:t>En vertu de l'art. 16 al. 3 LCR, les circonstances qui doivent être prises en considérations pour fixer la durée du retrait du permis de conduire sont notamment l'atteinte à la sécurité routière, la gravité de la faute, les antécédents en tant que conducteur ainsi que la nécessité professionnelle de conduire un véhicule automobile ; la durée minimale du retrait ne peut être toutefois réduite.</w:t>
      </w:r>
    </w:p>
    <w:p>
      <w:r>
        <w:rPr>
          <w:b/>
        </w:rPr>
        <w:t>E. 14</w:t>
      </w:r>
    </w:p>
    <w:p>
      <w:r>
        <w:t>Ces éléments doivent faire l'objet d'une appréciation d'ensemble, de manière à atteindre autant que possible l'effet éducatif et préventif auquel tend la mesure. Dans ce contexte, l'autorité cantonale dispose d'un large pouvoir d'appréciation et l'autorité de recours n'intervient que si celle-ci a abusé de ce pouvoir, par exemple en ne prenant pas en compte certains éléments pertinents ou encore en appréciant leur portée de manière insoutenable (ATF 128 II 173 consid. 4b ; JdT 2002 I 593 et la jurisprudence citée). Il y a lieu ainsi de rechercher si des circonstances particulières ne justifient pas de considérer le cas comme plus grave ou, inversement, comme de moindre gravité (arrêt 1C_125/2016 du 25 octobre 2016).</w:t>
      </w:r>
    </w:p>
    <w:p>
      <w:r>
        <w:rPr>
          <w:b/>
        </w:rPr>
        <w:t>E. 15</w:t>
      </w:r>
    </w:p>
    <w:p>
      <w:r>
        <w:t>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(ATF 128 II 285, consid. 2.4 ; 123 II 572, consid. 2c ; arrêt du Tribunal fédéral 1C_504/2011 du 7 mars 2012, consid. 4.1).</w:t>
      </w:r>
    </w:p>
    <w:p>
      <w:r>
        <w:rPr>
          <w:b/>
        </w:rPr>
        <w:t>E. 16</w:t>
      </w:r>
    </w:p>
    <w:p>
      <w:r>
        <w:t>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un chauffeur de taxis, un livreur ou un routier (arrêts du Tribunal fédéral 1C_430/2011 du 7 mars 2012 consid. 4.2 ; 1C_63/2007 du 24 septembre 2007 consid. 4.4 ; SJ 1994 p. 534). Le Tribunal fédéral a ainsi nié l'utilité professionnelle du permis de conduire pour des agents</w:t>
      </w:r>
    </w:p>
    <w:p>
      <w:r>
        <w:t>- 6/8 - A/3214/2023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du Tribunal fédéral 1C_63/2007 du 24 septembre 2007, consid. 4.5 ; 6A.24/2005 du 24 juin 2005, consid. 3 ; arrêt 6A.104/2002 du 24 janvier 2003 consid. 3.2).</w:t>
      </w:r>
    </w:p>
    <w:p>
      <w:r>
        <w:rPr>
          <w:b/>
        </w:rPr>
        <w:t>E. 17</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22</w:t>
      </w:r>
    </w:p>
    <w:p>
      <w:r>
        <w:t>Vu l’issue du litige, aucune indemnité de procédure ne sera allouée (art. 87 al. 2 LPA).</w:t>
      </w:r>
    </w:p>
    <w:p>
      <w:r>
        <w:t>- 8/8 - A/3214/2023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