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JTAPI/684/2021 vom 1. Juli 2021</w:t>
      </w:r>
    </w:p>
    <w:p>
      <w:r>
        <w:t>GE Cour de justice, 2021-07-01, FR</w:t>
      </w:r>
    </w:p>
    <w:p>
      <w:r>
        <w:rPr>
          <w:b/>
        </w:rPr>
        <w:t xml:space="preserve">Quelle: </w:t>
      </w:r>
      <w:r>
        <w:t>https://mcp.opencaselaw.ch/entscheid/ge_gerichte_JTAPI_684_2021</w:t>
      </w:r>
    </w:p>
    <w:p>
      <w:r>
        <w:t>FR: GE_GERICHTE JTAPI/684/2021 du 1 juillet 2021</w:t>
      </w:r>
    </w:p>
    <w:p>
      <w:r>
        <w:t>IT: GE_GERICHTE JTAPI/684/2021 del 1 luglio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137 II 30 consid. 2.2.3 et 2.3 ; 133 II 468 consid. 1 ; arrêt du Tribunal fédéral 1C_27/2018 du 6 avril 2018 consid. 1.1 ; ATA/186/2019 du 26 février 2019 consid. 3b). Tel est souvent le cas lorsqu'il est certain ou très vraisemblable que l'installation ou la construction litigieuse sera à l'origine d'immissions (bruit, poussières, vibrations, lumière, fumée) atteignant spécialement les voisins (cf. ATA/258/2020 du 3 mars 2020 consid. 2c et les références citées). À défaut, il n'y a pas lieu d'entrer en matière sur le grief soulevé (ATF 140 II 214 consid. 2.3 ; arrêt du Tribunal fédéral 1C_27/2018 du 6 avril 2018 consid. 1.1).</w:t>
      </w:r>
    </w:p>
    <w:p>
      <w:r>
        <w:rPr>
          <w:b/>
        </w:rPr>
        <w:t>E. 3</w:t>
      </w:r>
    </w:p>
    <w:p>
      <w:r>
        <w:t>Le présent recours est dirigé contre trois décisions distinctes.</w:t>
      </w:r>
    </w:p>
    <w:p>
      <w:r>
        <w:rPr>
          <w:b/>
        </w:rPr>
        <w:t>E. 4</w:t>
      </w:r>
    </w:p>
    <w:p>
      <w:r>
        <w:t>La qualité pour recourir de la recourante contre l'autorisation de démolir est contestée par l'autorité intimée.</w:t>
      </w:r>
    </w:p>
    <w:p>
      <w:r>
        <w:rPr>
          <w:b/>
        </w:rPr>
        <w:t>E. 5</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ATA/1159/2018 du 30 octobre 2018 ; ATA/661/2018 du 26 juin 2018).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arrêts du Tribunal fédéral 1C_206/2019 du 6 août 2019 consid. 3.1 ; 1C_170/2018 du 10 juillet 2018 consid. 4.1 ; ATA/258/2020 du 3 mars 2020 consid. 2b).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Cet intérêt digne de protection ne doit pas nécessairement être de nature juridique, un intérêt de fait étant suffisant (ATF 144 I 43 consid. 2.1 ; 139 II 499 consid. 2.2; arrêts du Tribunal fédéral 1C_206/2019 du 6 août 2019 consid. 3.1 ; 1C_96/2017 du 21 septembre 2017 consid. 2.1).</w:t>
      </w:r>
    </w:p>
    <w:p>
      <w:r>
        <w:t>- 9/17 - A/2910/2020 Celui qui n'est atteint que de manière indirecte ou médiate ne dispose dès lors pas d'un intérêt digne de protection (ATF 133 V 188 consid. 4.3.1 ; ATA/988/2016 du 22 novembre 2016 consid. 2d). Dans son arrêt du 6 avril 2018 1C_27/2018, le Tribunal fédéral a, par exemple, dénié la qualité pour recourir de voisins contre une autorisation de démolir une villa et une piscine, faute d'en retirer un avantage pratique.</w:t>
      </w:r>
    </w:p>
    <w:p>
      <w:r>
        <w:rPr>
          <w:b/>
        </w:rPr>
        <w:t>E. 6</w:t>
      </w:r>
    </w:p>
    <w:p>
      <w:r>
        <w:t>En droit des constructions, la qualité pour recourir appartient tout d'abord au destinataire de la décision. Le voisin direct de la construction ou de l'installation litigieuse a aussi en principe la qualité pour recourir (ATF 140 II 214 consid. 2 ; arrêt du Tribunal fédéral 1C_226/2016 du 28 juin 2017 consid. 1.1 ; ATA/258/ 2020 du 3 mars 2020 consid. 2c). La proximité avec l'objet du litige ne suffit toutefois pas à elle seule à lui conférer la qualité pour recourir contre l'octroi d'une autorisation de construire. Ainsi que noté ci-dessus, ce voisin doit aussi retirer un avantage pratique de l'annulation ou de la modification de la décision contestée qui permette d'admettre qu'il est touché dans un intérêt personnel se distinguant nettement de l'intérêt général des autres habitants de la collectivité concernée ; il doit invoquer des dispositions du droit public des constructions susceptibles d'avoir une incidence sur sa situation de fait ou de droit (ATF 139 II 499 consid.</w:t>
      </w:r>
    </w:p>
    <w:p>
      <w:r>
        <w:rPr>
          <w:b/>
        </w:rPr>
        <w:t>E. 7</w:t>
      </w:r>
    </w:p>
    <w:p>
      <w:r>
        <w:t>En l'occurrence, le tribunal considère que la recourante ne dispose pas de la qualité pour recourir à l'encontre de l'autorisation de démolir querellée. On voit en effet mal quel avantage de fait ou de droit procurerait à la recourante le maintien du bâtiment dont l'autorisation prévoit la démolition, respectivement, on peine à imaginer quel préjudice elle subirait du fait de sa disparition. Certes, les travaux de démolition entraîneront éventuellement des nuisances en matière de bruit et de poussière, mais celles-ci seront limitées dans le temps et ne sauraient à elles seules fonder un intérêt pratique à recourir, ce que la recourante ne prétend du reste pas. Les développements de la recourante visant à démontrer son intérêt au recours contre l’autorisation de démolir visent en réalité l’autorisation de construire. La recourante ne pouvant retirer d’avantage pratique et concret de l’annulation de l’autorisation de démolir, la qualité pour recourir doit lui être déniée et le recours contre l’autorisation de démolir M 8'287 sera déclaré irrecevable.</w:t>
      </w:r>
    </w:p>
    <w:p>
      <w:r>
        <w:t>- 10/17 - A/2910/2020</w:t>
      </w:r>
    </w:p>
    <w:p>
      <w:r>
        <w:rPr>
          <w:b/>
        </w:rPr>
        <w:t>E. 8</w:t>
      </w:r>
    </w:p>
    <w:p>
      <w:r>
        <w:t>En revanche, la recourante dispose de la qualité pour recourir à l'encontre de l'autorisation de construire dans la mesure où elle est propriétaire de parcelles directement voisines du bien-fonds concerné par le projet de construction litigieux et qu'elle se prévaut notamment de dispositions droit public des constructions susceptibles d'avoir une incidence concrète sur sa situation de fait.</w:t>
      </w:r>
    </w:p>
    <w:p>
      <w:r>
        <w:rPr>
          <w:b/>
        </w:rPr>
        <w:t>E. 9</w:t>
      </w:r>
    </w:p>
    <w:p>
      <w:r>
        <w:t>Concernant la recevabilité du recours dirigé contre l'arrêté départemental du 30 juillet 2020, les intimés considèrent dans leur duplique que le recours aurait perdu son objet compte tenu de l'arrêté du Conseil d'État prononcé le 20 janvier 2021. Force est toutefois de constater que cet arrêté ne fait aucune mention de l'arrêté départemental. Ainsi, il ne précise aucunement qu'il le remplacerait. Quant au département, il n'apparait pas non plus qu'il aurait annulé son arrêté litigieux. Partant, le recours à l'encontre de ce dernier conserve un objet (art. 67 al. 2 et 3 LPA) et le tribunal entrera en matière.</w:t>
      </w:r>
    </w:p>
    <w:p>
      <w:r>
        <w:rPr>
          <w:b/>
        </w:rPr>
        <w:t>E. 10</w:t>
      </w:r>
    </w:p>
    <w:p>
      <w:r>
        <w:t>À ce sujet, il n'est pas contesté que dans un récent arrêt (ATA/1152/2020 précité, consid. 5), la chambre administrative a souligné qu'à teneur de l'art. 2 al. 2 LGZD, les dérogations à l’élaboration d’un PLQ sont de la seule compétence du Conseil d'État. Partant, l'arrêt départemental querellé ne répond pas à cette exigence, étant relevé à toutes fins utiles que la modification de l'art. 5 al. 2 règlement d'application de la loi générale sur les zones de développement du 20 décembre 1978 (RGZD - L 1 35.01) entrée en vigueur le 3 mars 2021 n'est pas applicable au cas d'espèce.</w:t>
      </w:r>
    </w:p>
    <w:p>
      <w:r>
        <w:rPr>
          <w:b/>
        </w:rPr>
        <w:t>E. 11</w:t>
      </w:r>
    </w:p>
    <w:p>
      <w:r>
        <w:t>Dès lors qu'il a été rendu par une autorité incompétente, se pose la question de déterminer si sa nullité doit être constatée ou s'il doit être annulé.</w:t>
      </w:r>
    </w:p>
    <w:p>
      <w:r>
        <w:rPr>
          <w:b/>
        </w:rPr>
        <w:t>E. 12</w:t>
      </w:r>
    </w:p>
    <w:p>
      <w:r>
        <w:t>D'après la jurisprudence, une décision est nulle si elle est entachée d'un vice particulièrement grave, manifeste ou du moins facilement décelable et si, en outre, la constatation de la nullité ne met pas sérieusement en danger la sécurité du droit. Entrent avant tout en considération, comme motifs de nullité, l'incompétence fonctionnelle et matérielle de l'autorité appelée à statuer, ainsi qu'une erreur manifeste de procédure (ATF 138 II 501 consid. 3.1 ; 138 III 49 consid. 4.4.3 ; 137 I 273 consid. 3.1 ; 137 III 217 consid. 2.4.3 ; 132 II 342 consid. 2.3 ; 122 I 97 consid. 3a/aa ; arrêts du Tribunal fédéral 1C_474/2017 du 13 décembre 2017 consid. 3.2 ; 8C_355/2016 du 22 mars 2017 consid. 5.3 ; 1C_111/2016 du 8 décembre 2016 consid. 5.1 ; 8C_817/2015 du 6 juillet 2016 consid. 4.3.2 ; 6B_354/2015 du 21 janvier 2016 consid. 4.1 ; 5A_998/2014 du 14 avril 2015 consid. 2.1.2 ; 1C_620/2013 du 3 avril 2014 consid. 5.1 ; 5A_576/2010 du 18 novembre 2010 consid. 3.2.1).</w:t>
      </w:r>
    </w:p>
    <w:p>
      <w:r>
        <w:t>La nullité doit être constatée d'office, en tout temps et par l'ensemble des autorités étatiques (ATF 138 II 501 consid. 3.1 ; 136 II 415 consid. 1.2 ; 132 II 342 consid. 2.1</w:t>
      </w:r>
    </w:p>
    <w:p>
      <w:r>
        <w:t>- 11/17 - A/2910/2020 ; arrêts du Tribunal fédéral 1C_474/2017 du 13 décembre 2017 consid. 3.2 ; 4A_142/2016 du 25 novembre 2016 consid. 2.2). Elle peut aussi être constatée en procédure de recours (ATF 138 II 501 consid. 3.1 ; 137 III 217 consid. 2.4.3 ; 132 II 342 consid. 2.1 ; 122 I 97 consid. 3a ; arrêt du Tribunal fédéral 5A_998/2014 du 14 avril 2015 consid. 2.1.2), y compris en dépit de l'irrecevabilité éventuelle du recours (arrêts du Tribunal fédéral 5A_998/2014 du 14 avril 2015 consid. 2.1.2 ; 7B.20/2005 du 14 septembre 2005 consid. 1.3 non publié aux ATF 131 III 652). Une décision nulle est censée ne jamais avoir existé, de sorte que la nullité ne se décide pas, mais se constate (cf. Thierry TANQUEREL, Manuel de droit administratif, 2011, n. 919 p. 313).</w:t>
      </w:r>
    </w:p>
    <w:p>
      <w:r>
        <w:rPr>
          <w:b/>
        </w:rPr>
        <w:t>E. 13</w:t>
      </w:r>
    </w:p>
    <w:p>
      <w:r>
        <w:t>En l'occurrence, il doit être relevé que dans son arrêt (ATA/1152/2020 précité), la chambre administrative n'a pas constaté la nullité de l'arrêté départemental en question – ce qu'elle aurait pu faire d'office – et sur lequel se fondait l'autorisation de construire qu'elle a en revanche annulée. Dans ces circonstances, le tribunal de céans se limitera à annuler l'arrêté départemental litigieux. En tant qu'elle vise l'annulation de cet arrêté, la conclusion du recours doit ainsi être admise.</w:t>
      </w:r>
    </w:p>
    <w:p>
      <w:r>
        <w:rPr>
          <w:b/>
        </w:rPr>
        <w:t>E. 14</w:t>
      </w:r>
    </w:p>
    <w:p>
      <w:r>
        <w:t>La recourante sollicite un transport sur place visant à constater la configuration des lieux dans le cadre de son grief relatif aux distances aux limites de propriété.</w:t>
      </w:r>
    </w:p>
    <w:p>
      <w:r>
        <w:rPr>
          <w:b/>
        </w:rPr>
        <w:t>E. 15</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16</w:t>
      </w:r>
    </w:p>
    <w:p>
      <w:r>
        <w:t>En l'espèce, le tribunal estime que le dossier contient les éléments suffisants et nécessaires à l'examen des griefs et arguments mis en avant par les parties, au vu notamment de la solution adoptée ci-après.</w:t>
      </w:r>
    </w:p>
    <w:p>
      <w:r>
        <w:t>- 12/17 - A/2910/2020</w:t>
      </w:r>
    </w:p>
    <w:p>
      <w:r>
        <w:t>En tout état, les plans et les coupes versés au dossier ainsi que les outils disponibles sur Internet permettent parfaitement de visualiser le projet litigieux, son futur emplacement, ses dimensions, le périmètre dans lequel il s'insère et les données relatives aux chemins existants de part et d'autre de la parcelle. Le transport sur place sollicité aurait pour objet les mêmes éléments d'appréciation, de sorte que cette mesure d'instruction ne fournirait pas d'informations pertinentes supplémentaires. Il ne sera dès lors pas donné suite à cette requête de la recourante.</w:t>
      </w:r>
    </w:p>
    <w:p>
      <w:r>
        <w:rPr>
          <w:b/>
        </w:rPr>
        <w:t>E. 17</w:t>
      </w:r>
    </w:p>
    <w:p>
      <w:r>
        <w:t>La recourante soutient que la parcelle en question ne bénéficierait pas des droits à bâtir nécessaires pour permettre la réalisation de la construction litigieuse. En effet, selon elle, à l'exception de 129 m2 destinés à la villa actuelle, les droits à bâtir du bien-fonds n° 3'785 auraient été transférés sur la parcelle n° 5'111 dans le cadre du PLQ 27'143.</w:t>
      </w:r>
    </w:p>
    <w:p>
      <w:r>
        <w:rPr>
          <w:b/>
        </w:rPr>
        <w:t>E. 18</w:t>
      </w:r>
    </w:p>
    <w:p>
      <w:r>
        <w:t>Les plans d'affectation antérieurs à l'entrée en vigueur de la loi fédérale sur l’aménagement du territoire du 22 juin 1979 (LAT - RS 700), le 1er janvier 1980, devaient être réadoptés selon le standard procédural minimal édicté dans l'art. 33 LAT dans un délai de huit ans, à défaut de quoi ils sont devenus caducs (art. 35 LAT) (ATA/1243/2018 du 20 novembre 2018 consid. 8).</w:t>
      </w:r>
    </w:p>
    <w:p>
      <w:r>
        <w:rPr>
          <w:b/>
        </w:rPr>
        <w:t>E. 19</w:t>
      </w:r>
    </w:p>
    <w:p>
      <w:r>
        <w:t>En l'occurrence, il n'est pas contesté que le PLQ 27'143, adopté en 1977, est désormais caduc. Avec les intimés, il y a lieu de rappeler que selon la jurisprudence du Tribunal fédéral, seuls sont seuls soumis au principe de la stabilité des plans (art. 21 al. 1 LAT) les plans d’affectation qui ont été établis sous l’empire de la LAT et en application concrète des buts qu’elle s’est fixée (ATF 127 I 103, consid. b. aa ; 120 Ia 227 consid. 2c, p. 233). Il existe, pour ces plans, une présomption de validité des restrictions imposées à l’affectation. Cette présomption ne vaut pas, en revanche, pour les plans qui n’ont pas encore été adaptés aux exigences de la LAT (ATF 127 I 103, consid. b. aa ; 120 Ia 227 c. 2c, p. 233). Partant, les éventuelles restrictions imposées par le PLQ 27'143 ne sont plus valables et ne sauraient faire obstacle à l'autorisation de construire. Par ailleurs, les normes applicables à la zone 4B ne prévoient pas de règlementation en matière de limitation des droits à bâtir tel que la recourante le fait valoir. Ce grief doit dès lors être rejeté.</w:t>
      </w:r>
    </w:p>
    <w:p>
      <w:r>
        <w:rPr>
          <w:b/>
        </w:rPr>
        <w:t>E. 20</w:t>
      </w:r>
    </w:p>
    <w:p>
      <w:r>
        <w:t>La recourante fait reproche au département d'avoir contrevenu aux règles fixant les distances aux limites de propriété.</w:t>
      </w:r>
    </w:p>
    <w:p>
      <w:r>
        <w:t>- 13/17 - A/2910/2020</w:t>
      </w:r>
    </w:p>
    <w:p>
      <w:r>
        <w:rPr>
          <w:b/>
        </w:rPr>
        <w:t>E. 21</w:t>
      </w:r>
    </w:p>
    <w:p>
      <w:r>
        <w:t>Selon l’art. 3A al. 3 LCI, l’arrêté du Conseil d’État appliquant les normes d’une ZD fait partie intégrante de l’autorisation définitive. Le recours contre cette dernière emporte recours contre ledit arrêté.</w:t>
      </w:r>
    </w:p>
    <w:p>
      <w:r>
        <w:rPr>
          <w:b/>
        </w:rPr>
        <w:t>E. 22</w:t>
      </w:r>
    </w:p>
    <w:p>
      <w:r>
        <w:t>L'arrêté finalement prononcé par le Conseil d'État le 20 janvier 2021, fait expressément référence à l'art. 2 al. 2 let. c LGZD qui lui permet de renoncer à l'établissement d'un PLQ et autorise l'application des normes de la 4ème zone rurale (4B) au bâtiment à construire selon dossier DD 112'158. La recourante n'a formulé aucun grief à l'encontre de cet arrêté. Partant, ce sont bien les normes de la zone 4B qui régissent l'autorisation de construire litigieuse.</w:t>
      </w:r>
    </w:p>
    <w:p>
      <w:r>
        <w:rPr>
          <w:b/>
        </w:rPr>
        <w:t>E. 23</w:t>
      </w:r>
    </w:p>
    <w:p>
      <w:r>
        <w:t>À teneur de l'art. 34 LCI, applicable à la quatrième zone, lorsqu’une construction n’est pas édifiée à la limite de propriétés privées, la distance entre cette construction et la limite doit être au moins égale à la hauteur du gabarit diminuée de 1 m (D ≥ H – 1) (al. 1). Sous réserve des dispositions des art. 33, 42 et 43, la distance entre une construction et une limite de propriété ne peut en aucun cas être inférieure à 5 m (D ≥ 5) (al. 2). Les alinéas 4 et 5 de l’art. 21 sont applicables pour le surplus (al. 3).</w:t>
      </w:r>
    </w:p>
    <w:p>
      <w:r>
        <w:rPr>
          <w:b/>
        </w:rPr>
        <w:t>E. 24</w:t>
      </w:r>
    </w:p>
    <w:p>
      <w:r>
        <w:t>L'art. 40 LCI, applicable aux quatre premières zones de construction, prévoit quant à lui que les distances entre constructions séparées par une voie publique ou privée sont déterminées par les dispositions applicables dans chaque zone au gabarit de hauteur des constructions ainsi qu’aux dispositions de la présente section (al. 1). Restent réservées les dispositions des règlements de quartier et des plans localisés de quartier adoptés conformément à la loi sur l’extension des voies de communication et l’aménagement des quartiers ou localités, du 9 mars 1929, et de la loi générale sur les zones de développement, du 29 juin 1957 (al. 2).</w:t>
      </w:r>
    </w:p>
    <w:p>
      <w:r>
        <w:rPr>
          <w:b/>
        </w:rPr>
        <w:t>E. 25</w:t>
      </w:r>
    </w:p>
    <w:p>
      <w:r>
        <w:t>La recourante considère que cette dernière disposition ne trouve pas application au motif que le chemin d'accès, situé sur la parcelle n° 4'616, ne peut être considéré comme une voie publique ou privée au sens des art. 32 al. 1 et 40 al. 2 LCI. Il ressort de la consultation du SITG que le seul accès possible aux parcelles nos 4'616, 4'615, 5'111, 16'128, 16'127, 16'126 et 16'125 est prévu par le chemin situé sur les parcelles nos 4'616 et 4'615. Si ce chemin privé ne semble pas immatriculé comme tel au registre foncier, c'est pourtant bien en raison de son existence que les parcelles précitées qu'il dessert - sur lesquelles sont notamment érigées des habitations - sont réputées valablement équipées au sens de l'art 22 al. 2 let. b de la loi fédérale sur l’aménagement du territoire du 22 juin 1979 (LAT - RS 700). Dans ces conditions, c'est à juste titre que le département a considéré qu'il s'agissait d'une voie privée au sens de l'art. 40 LCI précité ; le fait qu'une bande</w:t>
      </w:r>
    </w:p>
    <w:p>
      <w:r>
        <w:t>- 14/17 - A/2910/2020 herbeuse, une haie ou des places de parc séparent la parcelle litigieuse de celles de la recourante n'y change rien. Pour le surplus, c'est à bon droit que le département a fait application de l'art. 32 LCI pour déterminer la hauteur du gabarit, lequel ne prête ainsi pas le flanc à la critique. Partant, le grief de la recourante sera rejeté.</w:t>
      </w:r>
    </w:p>
    <w:p>
      <w:r>
        <w:rPr>
          <w:b/>
        </w:rPr>
        <w:t>E. 26</w:t>
      </w:r>
    </w:p>
    <w:p>
      <w:r>
        <w:t>La recourante reproche au projet autorisé de porter atteinte au potentiel constructible de sa parcelle n° 4'616.</w:t>
      </w:r>
    </w:p>
    <w:p>
      <w:r>
        <w:rPr>
          <w:b/>
        </w:rPr>
        <w:t>E. 27</w:t>
      </w:r>
    </w:p>
    <w:p>
      <w:r>
        <w:t>Compte tenu du fait que le projet respecte les dispositions légales notamment en terme de gabarit et de distances, cet argument, d'ailleurs hypothétique, doit être écarté.</w:t>
      </w:r>
    </w:p>
    <w:p>
      <w:r>
        <w:rPr>
          <w:b/>
        </w:rPr>
        <w:t>E. 28</w:t>
      </w:r>
    </w:p>
    <w:p>
      <w:r>
        <w:t>La recourante exprime par ailleurs des craintes quant aux travaux à engager dans le cadre de la réalisation du sous-sol.</w:t>
      </w:r>
    </w:p>
    <w:p>
      <w:r>
        <w:rPr>
          <w:b/>
        </w:rPr>
        <w:t>E. 29</w:t>
      </w:r>
    </w:p>
    <w:p>
      <w:r>
        <w:t>Pour les constructions profondes, à plusieurs étages en sous-sol ou pénétrant de plus de 4 m en dessous du niveau naturel du terrain, il est exigé un rapport géotechnique, dont le contenu est précisé par le règlement d'application (art. 44 LCI). Selon l'art. 9 al. 7 du règlement d’application de la loi sur les constructions et les installations diverses du 27 février 1978 (RCI – L 5 05.01), ce rapport géotechnique précise : a) le niveau et la direction d'écoulement des nappes d'eau de faible importance ; b) les méthodes d'exécution des enceintes d'encagement avec détail des fiches en profondeur et des ouvrages annexes tels qu'ancrages et pieux (plan et profil détaillés) ; c) le type et la position des ouvrages de régularisation des écoulements souterrains.</w:t>
      </w:r>
    </w:p>
    <w:p>
      <w:r>
        <w:rPr>
          <w:b/>
        </w:rPr>
        <w:t>E. 30</w:t>
      </w:r>
    </w:p>
    <w:p>
      <w:r>
        <w:t>En l'espèce, il ressort du dossier que le GESDEC, soit l'instance technique composée de spécialistes en matière de géologie a délivré un préavis favorable moyennant le respect de la condition exigeant que les mesures constructives tiennent compte des conditions géologiques et hydrogéologiques locales. Par ailleurs, une note devra être élaborée et transmise au GESDEC au minimum 30 jours avant l'ouverture du chantier géotechnique précisant le type de fondations prévu, dans le secteur présentant une emprise en profondeur de plus de 4 m et susceptible de rentrer dans les graviers de l'Alluvion ancienne. Cette condition a été reprise expressément dans l'autorisation de construire Dans ces circonstances, rien n'indique que l'instance spécialisée n'aurait pas disposé de toutes les informations nécessaires pour formuler son préavis, de sorte que le grief formulé à ce sujet par la recourante, sans substance et en tout état prématuré, doit ainsi être écarté.</w:t>
      </w:r>
    </w:p>
    <w:p>
      <w:r>
        <w:t>- 15/17 - A/2910/2020 À titre superfétatoire, il pourra toutefois être rappelé que la LCI vise en premier lieu à protéger l’intérêt public à ce que soient élevées sur le territoire des constructions qui présentent certaines qualités, notamment en termes de conception, de solidité, d’aspect et de sécurité (ATA/478/2011 du 26 juillet 2011 consid. 4a ; ATA/561/2003 précité). Dans ce but, le législateur a prévu que les plans soient élaborés, visés et exécutés sous leur responsabilité par des professionnels dont les qualifications répondent à certains critères (art. 2 al. 3 LCI). Il en va de même de la direction des travaux (art. 6 LCI). Les propriétaires sont responsables, dans l’application de la LCI et sous réserve des droits civils, de l’entretien, de la sécurité et de la salubrité des constructions et installations (art. 122 LCI). Ainsi, dans le système instauré par la LCI, la vérification relative à la stabilité et à la solidité des constructions relève de la responsabilité des mandataires et des propriétaires. Ni la loi ni le règlement ne contiennent d’ailleurs de disposition à ce sujet (ATA/478/2011 précité consid. 4b).</w:t>
      </w:r>
    </w:p>
    <w:p>
      <w:r>
        <w:rPr>
          <w:b/>
        </w:rPr>
        <w:t>E. 31</w:t>
      </w:r>
    </w:p>
    <w:p>
      <w:r>
        <w:t>Enfin, la recourante reproche au projet de violer l'assiette des servitudes de canalisation grevant la parcelle n° 3'785.</w:t>
      </w:r>
    </w:p>
    <w:p>
      <w:r>
        <w:rPr>
          <w:b/>
        </w:rPr>
        <w:t>E. 32</w:t>
      </w:r>
    </w:p>
    <w:p>
      <w:r>
        <w:t>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(art. 3 al. 6 LCI ; cf. not. ATA/169/2020 du 11 février 2020 consid. 7b ; ATA/1724/2019 du 26 novembre 2019 consid. 8e ; ATA/97/2019 du 29 janvier 2019 consid. 5 ; ATA/517/2018 du 29 mai 2018 consid. 5g ; ATA/166/2018 du 20 février 2018 consid. 5 et les arrêts cités ; cf. aussi arrêt du Tribunal fédéral 1C_413/2019 du 24 mars 2020 consid. 7.1 et les références citées). Elle réserve expressément le droit des tiers (art. 3 al. 6 LCI ; ATA/638/2015 du 16 juin 2015; ATA/752/2014 du 23 septembre 2014; ATA/719/2013 du 29 octobre 2013).</w:t>
      </w:r>
    </w:p>
    <w:p>
      <w:r>
        <w:rPr>
          <w:b/>
        </w:rPr>
        <w:t>E. 33</w:t>
      </w:r>
    </w:p>
    <w:p>
      <w:r>
        <w:t>La procédure de recours prévue par l'art. 145 LCI ne permet donc en principe de faire valoir que des moyens de droit public et n'a pas pour vocation de veiller au respect de droits réels, le contrôle du respect de ceux-ci - de même que l'examen de tout autre litige ressortissant au droit privé - restant dévolu aux tribunaux civils (cf. not. arrêts du Tribunal fédéral 1C_413/2019 du 24 mars 2020 consid. 7.1 et les références citées ; 1C_416/2012 du 6 décembre 2012 consid. 5 in fine ; ATA/638/2015 du 16 juin 2015 ; ATA/752/2014 du 23 septembre 2014 consid. 7c ; ATA/900/2010 du 21 décembre 2010 ; ATA/457/2010 du 29 juin 2010).</w:t>
      </w:r>
    </w:p>
    <w:p>
      <w:r>
        <w:rPr>
          <w:b/>
        </w:rPr>
        <w:t>E. 34</w:t>
      </w:r>
    </w:p>
    <w:p>
      <w:r>
        <w:t>En l'occurrence, le tribunal doit d'emblée constater que les préavis émis dans le cadre de l'instruction du dossier se sont tous avérés favorables ou favorables sous conditions. Au vu de la jurisprudence précitée, il n'a pas à substituer sa propre appréciation à celle qu'elles ont formulée.</w:t>
      </w:r>
    </w:p>
    <w:p>
      <w:r>
        <w:t>- 16/17 - A/2910/2020 Par ailleurs, avec les intimés, le tribunal relèvera que ce grief, au demeurant nullement étayés, ressort du droit privé et est de la compétence des juridictions civiles (ATA/740/2016 du 30 août 2016) et non du tribunal de céans. Partant, il sera écarté.</w:t>
      </w:r>
    </w:p>
    <w:p>
      <w:r>
        <w:rPr>
          <w:b/>
        </w:rPr>
        <w:t>E. 35</w:t>
      </w:r>
    </w:p>
    <w:p>
      <w:r>
        <w:t>Mal fondé, le recours sera rejeté et l'autorisation de construire confirmée.</w:t>
      </w:r>
    </w:p>
    <w:p>
      <w:r>
        <w:rPr>
          <w:b/>
        </w:rPr>
        <w:t>E. 36</w:t>
      </w:r>
    </w:p>
    <w:p>
      <w:r>
        <w:t>En application des art. 87 al. 1 LPA et 1 et 2 du règlement sur les frais, émoluments et indemnités en procédure administrative du 30 juillet 1986 (RFPA - E 5 10.03), la recourante, qui succombe pour une grande partie, est condamnée au paiement d’un émolument s'élevant à CHF 1'800.- ; il est couvert par l’avance de frais versée à la suite du dépôt du recours. Vu l’issue du litige, aucune indemnité de procédure ne lui sera allouée (art. 87 al. 2 LPA). En revanche, une indemnité de procédure de CHF 2'000.-, à la charge de la recourante, sera allouée à Swissroc (art. 87 al. 2 à 4 LPA et 6 RFPA).</w:t>
      </w:r>
    </w:p>
    <w:p>
      <w:r>
        <w:t>- 17/17 - A/2910/2020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