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JTAPI/677/2021 vom 21. November 2017</w:t>
      </w:r>
    </w:p>
    <w:p>
      <w:r>
        <w:t>GE Cour de justice, 2017-11-21, FR</w:t>
      </w:r>
    </w:p>
    <w:p>
      <w:r>
        <w:rPr>
          <w:b/>
        </w:rPr>
        <w:t xml:space="preserve">Quelle: </w:t>
      </w:r>
      <w:r>
        <w:t>https://mcp.opencaselaw.ch/entscheid/ge_gerichte_JTAPI_677_2021</w:t>
      </w:r>
    </w:p>
    <w:p>
      <w:r>
        <w:t>FR: GE_GERICHTE JTAPI/677/2021 du 21 novembre 2017</w:t>
      </w:r>
    </w:p>
    <w:p>
      <w:r>
        <w:t>IT: GE_GERICHTE JTAPI/677/2021 del 21 novembre 2017</w:t>
      </w:r>
    </w:p>
    <w:p>
      <w:pPr>
        <w:pStyle w:val="Heading2"/>
      </w:pPr>
      <w:r>
        <w:t>Erwägungen</w:t>
      </w:r>
    </w:p>
    <w:p>
      <w:r>
        <w:rPr>
          <w:b/>
        </w:rPr>
        <w:t>E. 1</w:t>
      </w:r>
    </w:p>
    <w:p>
      <w:r>
        <w:t>Interjeté en temps utile et dans les formes prescrites devant la juridiction compétente (art. 115 al. 2 et 116 al. 1 de la loi sur l’organisation judiciaire du 26 septembre 2010 - LOJ - E 2 05 ; art. 143 et 145 al. 1 LCI), le recours est recevable (art. 57, 60 et 62 à 65 de la loi sur la procédure administrative du 12 septembre 1985 - LPA - E 5 10).</w:t>
      </w:r>
    </w:p>
    <w:p>
      <w:r>
        <w:rPr>
          <w:b/>
        </w:rPr>
        <w:t>E. 2</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w:t>
      </w:r>
    </w:p>
    <w:p>
      <w:r>
        <w:rPr>
          <w:b/>
        </w:rPr>
        <w:t>E. 3</w:t>
      </w:r>
    </w:p>
    <w:p>
      <w:r>
        <w:t>Saisi d'un recours, le tribunal applique le droit d'office. S'il ne peut pas aller au- delà des conclusions des parties, il n'est lié ni par les motifs invoqués par celles-ci (art. 69 al. 1 LPA), ni par leur argumentation juridique (cf. not. ATA/1024/2020 du 13 octobre 2020 consid. 1 et les références citées ; ATA/386/2018 du 24 avril</w:t>
      </w:r>
    </w:p>
    <w:p>
      <w:r>
        <w:t>- 6/10 - A/2065/2020 2018 consid. 1b ; cf. aussi ATF 140 III 86 consid. 2 ; 138 II 331 consid. 1.3 ; 137 II 313 consid. 1.4). Aussi peut-il admettre le recours pour d'autres motifs que ceux invoqués par le recourant, comme il peut le rejeter en opérant une substitution de motifs (cf. ATF 139 II 404 consid. 3 ; arrêts du Tribunal fédéral 1C_164/2019 du 20 janvier 2021 consid. 2 ; 2C_44/2017 du 28 juillet 2017 consid. 2.1 ; 2C_540/2013 du 5 décembre 2013 consid. 3 ; 2C_349/2012 du 18 mars 2013 consid. 2.1 ; arrêt du Tribunal administratif fédéral F-1734/2019 du 23 mars 2020 consid. 2).</w:t>
      </w:r>
    </w:p>
    <w:p>
      <w:r>
        <w:rPr>
          <w:b/>
        </w:rPr>
        <w:t>E. 4</w:t>
      </w:r>
    </w:p>
    <w:p>
      <w:r>
        <w:t>Selon l'art. 137 al. 1 LCI, est passible d'une amende administrative de CHF 100.- à 150'000.- tout contrevenant : a) à la présente loi ; b) aux règlements et arrêtés édictés en vertu de la présente loi ; c) aux ordres donnés par le département dans les limites de la présente loi et des règlements et arrêtés édictés en vertu de celle-ci.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(art. 137 al. 2 LCI). Si l’infraction a été commise dans la gestion d’une personne morale, d’une société en commandite, d’une société en nom collectif ou d’une entreprise à raison individuelle, les sanctions sont applicables aux personnes qui ont agi ou auraient dû agir en son nom, la personne morale, la société ou le propriétaire de l’entreprise individuelle répondant solidairement des amendes. Les sanctions sont applicables directement aux sociétés ou entreprises précitées lorsqu’il n’apparaît pas de prime abord quelles sont les personnes responsables (art. 137 al. 4 LCI).</w:t>
      </w:r>
    </w:p>
    <w:p>
      <w:r>
        <w:rPr>
          <w:b/>
        </w:rPr>
        <w:t>E. 5</w:t>
      </w:r>
    </w:p>
    <w:p>
      <w:r>
        <w:t>Aucun chantier ne peut être ouvert avant d’avoir été annoncé au département sur une formule ad hoc. Le formulaire doit être adressé au département dans les délais indiqués dans l'autorisation de construire. En l'absence d'une telle indication, ainsi que pour les travaux ne nécessitant pas d'autorisation de construire, ce délai est de 30 jours avant le début des travaux (art. 33 al. 1 du règlement d’application de la loi sur les constructions et les installations diverses du 27 février 1978 - RCI -L 5 05.01). Au moins 30 jours avant l'ouverture d'un chantier ayant pour objet une nouvelle construction ou l'extension d'un bâtiment existant, un dossier énergétique complet, incluant le formulaire relatif à la performance énergétique de cette dernière et ses annexes, est remis au département chargé de l'énergie pour validation (art. 33 al. 4 RCI).</w:t>
      </w:r>
    </w:p>
    <w:p>
      <w:r>
        <w:t>- 7/10 - A/2065/2020</w:t>
      </w:r>
    </w:p>
    <w:p>
      <w:r>
        <w:rPr>
          <w:b/>
        </w:rPr>
        <w:t>E. 6</w:t>
      </w:r>
    </w:p>
    <w:p>
      <w:r>
        <w:t>Selon la jurisprudence constante,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(cf. not. ATA/1277/2018 du 27 novembre 2018 consid. 6b ; ATA/1030/2018 du 2 octobre 2018 consid. 9b ; ATA/319/2017 du 21 mars 2017 consid. 3c et les références citées).</w:t>
      </w:r>
    </w:p>
    <w:p>
      <w:r>
        <w:rPr>
          <w:b/>
        </w:rPr>
        <w:t>E. 7</w:t>
      </w:r>
    </w:p>
    <w:p>
      <w:r>
        <w:t>En vertu de l'art. 1 let. a de la loi pénale genevoise du 17 novembre 2006 (LPG - E 4 05), les art. 1 à 110 du Code pénal suisse du 21 décembre 1937 (CP - RS 311.0) s'appliquent à titre de droit cantonal supplétif aux infractions prévues par la législation genevoise, sous réserve de celles qui concernent exclusivement le juge pénal, comme notamment les art. 34 ss, 42 ss, 56 ss, 74 ss, 106 al. 2 et 3 et 107 CP (not. ATA/403/2019 du 9 avril 2019 consid. 7b ; ATA/1277/2018 du 27 novembre 2018 consid. 6c ; ATA/1472/2017 du 14 novembre 2017). Il est ainsi en particulier nécessaire que le contrevenant ait commis une faute, fût- ce sous la forme d'une simple négligence (cf. not. ATA/13/2020 du 7 janvier 2020 consid. 7c ; ATA/1828/2019 du 17 décembre 2019 consid. 13c ; ATA/1277/2018 du 27 novembre 2018 consid. 6c).</w:t>
      </w:r>
    </w:p>
    <w:p>
      <w:r>
        <w:rPr>
          <w:b/>
        </w:rPr>
        <w:t>E. 8</w:t>
      </w:r>
    </w:p>
    <w:p>
      <w:r>
        <w:t>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(cf. ATF 141 IV 61 consid. 6.1.1 ; 136 IV 55 ; 134 IV 17 consid. 2.1 ; 129 IV 6 consid. 6.1 ; arrêts du Tribunal fédéral 6B_28/2016 du 10 octobre 2016 consid. 5.1 ; 6B_1276/2015 du 29 juin 2016 consid. 2.1) et ses capacités financières (cf. ATA/719/2012 du 30 octobre 2012 consid. 20 et les références citées). Néanmoins, toujours selon la jurisprudence constante, l'administration doit faire preuve de sévérité afin d'assurer le respect de la loi et jouit d'un large pouvoir d'appréciation pour infliger une amende (ATA/403/2019 du 9 avril 2019 consid. 7c ; ATA/1277/2018 du 27 novembre 2018 consid. 6d ; ATA/313/2017 du 21 mars 2017 ; ATA/124/2016 du 9 février 2016 ; ATA/824/2015 du 11 août 2015), le juge ne la censurant qu'en cas d'excès (ATA/403/2019 du 9 avril 2019</w:t>
      </w:r>
    </w:p>
    <w:p>
      <w:r>
        <w:t>- 8/10 - A/2065/2020 consid. 7c ; ATA/1277/2018 du 27 novembre 2018 consid. 6d ; ATA/313/2017 du 21 mars 2017 ; ATA/124/2016 du 9 février 2016 ; ATA/824/2015 du 11 août 2015).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(cf. ATF 136 IV 55 consid. 5.6 ; 135 IV 130 consid. 5.3.1 ; 134 IV 17 consid. 2.1 ; 129 IV 6 consid. 6.1 et les références citées ; arrêts du Tribunal fédéral 6B_28/2016 du 10 octobre 2016 consid. 5.1 ; 6B_1276/2015 du 29 juin 2016 consid. 2.1). Enfin, l'amende doit respecter le principe de la proportionnalité garanti par l'art. 5 al. 2 de la Constitution fédérale de la Confédération suisse du 18 avril 1999 (Cst. - RS 101 ; cf. ATA/313/2017 du 21 mars 2017 ; ATA/871/2015 du 25 août 2015 ; ATA/824/2015 du 11 août 2015), lequel commande que la mesure étatique soit nécessaire et apte à atteindre le but prévu et qu'elle soit raisonnable pour la personne concernée (cf. ATF 140 I 257 consid. 6.3.1 ; 140 II 194 consid. 5.8.2 ; 139 I 218 consid. 4.3).</w:t>
      </w:r>
    </w:p>
    <w:p>
      <w:r>
        <w:rPr>
          <w:b/>
        </w:rPr>
        <w:t>E. 9</w:t>
      </w:r>
    </w:p>
    <w:p>
      <w:r>
        <w:t>En l’espèce, à teneur de la condition n° 5 de l'autorisation de construire DD 3______ délivrée à la recourante, qui repose sur l'art. 33 al. 4 RCI, divers documents devaient impérativement être remis à l'OCEn trente jours avant l'ouverture du chantier, ce qui n'a pas été fait et constitue une infraction susceptible d'être réprimée en application de l'art. 137 al. 1 let. a et b LCI, étant aussi relevé que l'avis d'ouverture du chantier a été communiqué au DT le 2 juillet 2018, alors que les travaux avaient commencé le 28 mai 2018, ce qui constitue également une infraction à l'art. 33 al. 1 RCI. Cette infraction peut (notamment) être imputée à une faute de la recourante, à tout le moins sous la forme de la négligence, eu égard à sa qualité de « requérante », par conséquent de bénéficiaire de l’autorisation de construire en question. Il lui appartenait de s’assurer du respect de cette condition, qui revêt une importance non négligeable, quand bien même elle n'assurait pas elle-même la direction des travaux, et d’autant plus qu’il ressort clairement du dossier qu’aucun MPQ n’était en charge du projet entre fin 2017 et juin 2018. Compte tenu du pouvoir d'appréciation conféré au DT en la matière et du montant maximum de la sanction prévue par l'art. 137 al. 1 LCI, il n'apparaît pas qu'une amende de CHF 1'000.- soit disproportionnée dans ce contexte. Il ne ressort en particulier pas du dossier, dès lors que la recourante ne s'est pas exprimée et n'a produit aucune pièce à cet égard, qu'une telle sanction l'exposerait à une situation financière difficile (cf. not. ATA/440/2019 du 16 avril 2019 consid. 6b ; ATA/19/2018 du 9 janvier 2018 consid. 9e ; ATA/1472/2017 du 14 novembre 2017).</w:t>
      </w:r>
    </w:p>
    <w:p>
      <w:r>
        <w:t>- 9/10 - A/2065/2020</w:t>
      </w:r>
    </w:p>
    <w:p>
      <w:r>
        <w:rPr>
          <w:b/>
        </w:rPr>
        <w:t>E. 10</w:t>
      </w:r>
    </w:p>
    <w:p>
      <w:r>
        <w:t>Au vu de ce qui précède, le recours, mal fondé, sera rejeté.</w:t>
      </w:r>
    </w:p>
    <w:p>
      <w:r>
        <w:rPr>
          <w:b/>
        </w:rPr>
        <w:t>E. 11</w:t>
      </w:r>
    </w:p>
    <w:p>
      <w:r>
        <w:t>Vu cette issue, un émolument de CHF 700.- sera mis à la charge de la recourante, qui succombe (art. 87 al. 1 LPA et 1 et 2 du règlement sur les frais, émoluments et indemnités en procédure administrative du 30 juillet 1986 - RFPA - E 5 10.03). Cette dernière n'a pas droit à une indemnité de procédure (art. 87 al. 2 LPA a contrario).</w:t>
      </w:r>
    </w:p>
    <w:p>
      <w:r>
        <w:t>- 10/10 - A/2065/2020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