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JTAPI/674/2025 vom 19. Juni 2025</w:t>
      </w:r>
    </w:p>
    <w:p>
      <w:r>
        <w:t>GE Cour de justice, 2025-06-19, FR</w:t>
      </w:r>
    </w:p>
    <w:p>
      <w:r>
        <w:rPr>
          <w:b/>
        </w:rPr>
        <w:t xml:space="preserve">Quelle: </w:t>
      </w:r>
      <w:r>
        <w:t>https://mcp.opencaselaw.ch/entscheid/ge_gerichte_JTAPI_674_2025</w:t>
      </w:r>
    </w:p>
    <w:p>
      <w:r>
        <w:t>FR: GE_GERICHTE JTAPI/674/2025 du 19 juin 2025</w:t>
      </w:r>
    </w:p>
    <w:p>
      <w:r>
        <w:t>IT: GE_GERICHTE JTAPI/674/2025 del 19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3.3</w:t>
      </w:r>
    </w:p>
    <w:p>
      <w:r>
        <w:t>; ATA/934/2019 du 21 mai 2019 consid. 8b et les références citées).</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w:t>
      </w:r>
    </w:p>
    <w:p>
      <w:r>
        <w:t>- 9/18 - A/3401/2024 tels que l'interdiction de l'arbitraire, l'inégalité de traitement, le principe de la bonne foi et le principe de la proportionnalité (ATF 143 III 140 consid. 4.1.3 ; 140 I 257 consid. 6.3.1 ; arrêt du Tribunal fédéral 1C_107/2016 du 28 juillet 2016 consid.</w:t>
      </w:r>
    </w:p>
    <w:p>
      <w:r>
        <w:rPr>
          <w:b/>
        </w:rPr>
        <w:t>E. 4.2</w:t>
      </w:r>
    </w:p>
    <w:p>
      <w:r>
        <w:t>; ATA/700/2014 précité consid. 4a ; ATA/141/2012 du 13 mars 2012 consid. 4 ; Thierry TANQUEREL, op. cit., p. 193 n. 568). Ce principe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w:t>
      </w:r>
    </w:p>
    <w:p>
      <w:r>
        <w:t>- 16/18 - A/3401/2024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 TANQUEREL, op. cit., p. 193 s. n. 571).</w:t>
      </w:r>
    </w:p>
    <w:p>
      <w:r>
        <w:rPr>
          <w:b/>
        </w:rPr>
        <w:t>E. 4.3</w:t>
      </w:r>
    </w:p>
    <w:p>
      <w:r>
        <w:t>; 137 V 334 consid. 6.2.1).</w:t>
      </w:r>
    </w:p>
    <w:p>
      <w:r>
        <w:rPr>
          <w:b/>
        </w:rPr>
        <w:t>E. 9</w:t>
      </w:r>
    </w:p>
    <w:p>
      <w:r>
        <w:t>; Thierry TANQUEREL, Manuel de droit administratif, 2011, n. 515 p. 171). 5. Saisi d’un recours, le tribunal applique le droit d’office. Il ne peut pas aller au-delà des conclusions des parties, mais n’est lié ni par les motifs invoqués par celles-ci (art. 69 al. 1 LPA), ni par leur argumentation juridique (ATA/1024/2020 du</w:t>
      </w:r>
    </w:p>
    <w:p>
      <w:r>
        <w:rPr>
          <w:b/>
        </w:rPr>
        <w:t>E. 13</w:t>
      </w:r>
    </w:p>
    <w:p>
      <w:r>
        <w:t>En vertu de l'art. 106 al. 1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le département peut en conséquence, à titre exceptionnel, déroger aux dispositions régissant les distances entre bâtiments, les distances aux limites de propriétés et les vues droites. Les préavis sont motivés (art. 106 al. 3 LCI). Cette disposition renferme une clause d’esthétique particulière, soit une notion qui varie selon les conceptions de celui qui les interprète et selon les circonstances de chaque cas d’espèce (cf. ATA/934/2019 du 21 mai 2019 consid. 8b ; ATA/1059/2017 du 4 juillet 2017 consid. 6c ; ATA/537/2017 du 9 mai 2017 consid. 4c ; ATA/305/2012 du 15 mai 2012 consid. 7). Il laisse un large pouvoir d’appréciation au département, qui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1C_355/2019 du 29 janvier 2020 consid. 5.1 ; 1C_579/2015 du 4 juillet 2016 consid. 3.2 ; 1C_123/2010 du 25 mai 2010 consid.</w:t>
      </w:r>
    </w:p>
    <w:p>
      <w:r>
        <w:rPr>
          <w:b/>
        </w:rPr>
        <w:t>E. 14</w:t>
      </w:r>
    </w:p>
    <w:p>
      <w:r>
        <w:t>Le juge ne peut revoir l’application de cette disposition à laquelle le département procède dans un cas d’espèce qu’en cas d’excès ou d’abus (art. 61 al. 2 LPA ; ATA/1358/2020 du 22 décembre 2020 consid. 18b ; ATA/1059/2017 du 4 juillet 2017 consid. 6b ; ATA/305/2012 du 15 mai 2012).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w:t>
      </w:r>
    </w:p>
    <w:p>
      <w:r>
        <w:t>- 11/18 - A/3401/2024 principe de la proportionnalité (ATF 143 III 140 consid. 4.1.3 ; arrêt du Tribunal fédéral 1C_107/2016 du 28 juillet 2016 consid. 9).</w:t>
      </w:r>
    </w:p>
    <w:p>
      <w:r>
        <w:rPr>
          <w:b/>
        </w:rPr>
        <w:t>E. 15</w:t>
      </w:r>
    </w:p>
    <w:p>
      <w:r>
        <w:t>Dans le système de la LCI, les avis ou préavis des communes, des départements et organismes intéressés ne lient pas les autorités (art. 3 al. 3 LCI ; arrêt du Tribunal fédéral 1C_476/2015 du 3 août 2016 consid. 4.3.1). Ils n’ont qu’un caractère consultatif, sauf dispositions contraires et expresses de la loi ; l’autorité reste ainsi libre de s’en écarter pour des motifs pertinents et en raison d’un intérêt public supérieur (ATA/37/2020 du 14 janvier 2020 consid. 5c ; ATA/1829/2019 du</w:t>
      </w:r>
    </w:p>
    <w:p>
      <w:r>
        <w:rPr>
          <w:b/>
        </w:rPr>
        <w:t>E. 17</w:t>
      </w:r>
    </w:p>
    <w:p>
      <w:r>
        <w:t>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w:t>
      </w:r>
    </w:p>
    <w:p>
      <w:r>
        <w:rPr>
          <w:b/>
        </w:rPr>
        <w:t>E. 18</w:t>
      </w:r>
    </w:p>
    <w:p>
      <w:r>
        <w:t>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d’en apprécier globalement les motifs avant de rendre sa décision (ATA/724/2020 du 4 août 2020 consid. 3f). Néanmoins, dans le cadre de l’application de l’art. 106 al. 1 LCI, où la commune et la CMNS doivent être consultées, la chambre administrative a toujours jugé qu’en cas de préavis divergents, une prééminence était reconnue à celui de la CMNS, de sorte que lorsque sa consultation est imposée par la loi, son préavis, émis à l’occasion d’un projet concret, revêt un caractère prépondérant (ATA/435/2023 du 25 avril 2023 consid. 5g ; ATA/670/2012 du 2 octobre 2012 consid. 6 ; cf.</w:t>
      </w:r>
    </w:p>
    <w:p>
      <w:r>
        <w:t>- 12/18 - A/3401/2024 aussi ATA/146/2021 du 9 février 2021 consid. 10a et ATA/1358/2020 du 22 décembre 2020 consid. 18c). Elle a par ailleurs étendu cette règle aux cas soumis aux préavis du SMS (cf. ATA/1275/2018 du 27 novembre 2018 consid. 13).</w:t>
      </w:r>
    </w:p>
    <w:p>
      <w:r>
        <w:rPr>
          <w:b/>
        </w:rPr>
        <w:t>E. 19</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 Ce principe exige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w:t>
      </w:r>
    </w:p>
    <w:p>
      <w:r>
        <w:rPr>
          <w:b/>
        </w:rPr>
        <w:t>E. 20</w:t>
      </w:r>
    </w:p>
    <w:p>
      <w:r>
        <w:t>Une mesure viole le principe de la proportionnalité garanti par les art. 5 al. 2 et 36 Cst. notamment si elle excède le but visé et qu'elle ne se trouve pas dans un rapport raisonnable avec celui-ci et les intérêts compromis (ATF 142 I 49 consid. 9.1 p. 69; 130 I 65 consid. 3.5.1 p. 69 et les arrêts cités).</w:t>
      </w:r>
    </w:p>
    <w:p>
      <w:r>
        <w:rPr>
          <w:b/>
        </w:rPr>
        <w:t>E. 21</w:t>
      </w:r>
    </w:p>
    <w:p>
      <w:r>
        <w:t>Le principe de la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 ; ATF 142 I 76 consid. 3.5.1 ; ATF 136 IV 97 consid. 5.2.2).</w:t>
      </w:r>
    </w:p>
    <w:p>
      <w:r>
        <w:t>- 13/18 - A/3401/2024</w:t>
      </w:r>
    </w:p>
    <w:p>
      <w:r>
        <w:rPr>
          <w:b/>
        </w:rPr>
        <w:t>E. 22</w:t>
      </w:r>
    </w:p>
    <w:p>
      <w:r>
        <w:t>En l'espèce, le refus d'autorisation de construire se fonde sur les préavis défavorables de la CMNS et du SMS. Pour rappel, la CMNS estime que, malgré ses transformations antérieures, l'annexe a gardé ses éléments caractéristiques qui participent à la bonne intégration dans le site, dont elle rappelle les spécificités. S'agissant des jardins, elle rappelle que les surfaces de jardins non-bâties au cœur des îlots doivent rester libres de construction. Dans ses observations du 16 décembre 2024, le département souligne par ailleurs que dans son préavis du 25 mars 2024, la DAC a relevé que le projet ne respectait pas les distances entre les bâtiments et aux limites de propriété, de sorte que son refus se fondait également sur l'absence des conditions nécessaires à l'octroi de la dérogation prévue par l’art. 106 LCI, qu’il citait d’ailleurs dans sa décision. Il retient ainsi que la reconstruction projetée implique une augmentation de l'emprise bâtie par rapport à la situation actuelle et porte atteinte à l'équilibre du site tel que reconnu par les instances spécialisées et motive sa décision par des considérations liées à l'intégration dans le tissu bâti dans une approche conforme à l'art. 106 al. 1 LCI. Le préavis de la CMNS, obligatoire dans le cadre de l'application de l'art. 106 LCI ayant été suivi par l'autorité intimée, il revêt un poids particulier dans l'appréciation de l'autorité de recours et prévaut sur celui de la commune.</w:t>
      </w:r>
    </w:p>
    <w:p>
      <w:r>
        <w:t>Il doit pour le surplus être constaté que le refus du département ne se fonde pas sur la « suppression » des jardins, dont le principe qu’ils doivent être conservés est mentionné pour rappel, mais sur l’impact du projet sur le site protégé. Or, à cet égard, la CMNS a considéré que l’annexe existante, bien qu’ayant fait l’objet de transformations, conservait une valeur patrimoniale suffisante et s’intégrait mieux dans le site que le bâtiment projeté. Lorsqu’ils soutiennent que le projet améliorerait l’intégration au site, les recourants ne font en réalité qu’opposer leur appréciation à celle de l’instance spécialisée en matière de protection du patrimoine. Ils ne démontrent en revanche pas que l’analyse effectuée par le CMNS, les SMS, instances composées de spécialistes en matière de protection du patrimoine reposerait sur des considérations dénuées de pertinence ou étrangères au but visé par les dispositions légales applicables.</w:t>
      </w:r>
    </w:p>
    <w:p>
      <w:r>
        <w:t>Le tribunal observe par ailleurs que le projet, dont la modification était demandée par la DAC dans son préavis du 25 mars 2024, ne respecte pas les distances entre bâtiments ni aux limites. En particulier, selon le plan de coupe A-A, la distance entre le bâtiment projeté et la limite de propriété est de 0,34 m, soit une distance bien inférieure à celles prévues en application des art. 32 et ss LCI. Quant à une dérogation sous l’angle de l’art. 106 al. 1 LCI, encore faudrait-il que les conditions en soient réunies, ce n'est pas le cas en l'espèce, au vu des préavis délivrés, étant par ailleurs rappelé le caractère exceptionnel de telles dérogations.</w:t>
      </w:r>
    </w:p>
    <w:p>
      <w:r>
        <w:t>Le refus du département apparaît pour le surplus proportionné dans le mesure où il n’apparait pas qu’une autre solution permettrait de préserver le caractère du E______ et de son site environnant. Quant à l’existence d’intérêts publics prépondérants (à l’assainissement de l’annexe pour des motifs énergétiques et de</w:t>
      </w:r>
    </w:p>
    <w:p>
      <w:r>
        <w:t>- 14/18 - A/3401/2024 sécurité) qui devraient primer en l’espèce, les recourants ne démontrent pas qu’ils ne pourraient être pris en compte que par le biais du projet querellé. En particulier, leur affirmation quant à l’emplacement « nécessaire » de la PAC dans l’annexe projetée ne relève que d’une appréciation personnelle, sans portée probatoire. Quant à l’étanchéité du toit, ils n’établissent pas que la reconstruction complète de l’annexe serait la seule solution apte à atteindre ce but. Au vu de ce qui précède, il n’apparait pas que le refus du département consacrerait une violation du principe de légalité ni qu’il serait disproportionné. Ces griefs doivent donc être écartés.</w:t>
      </w:r>
    </w:p>
    <w:p>
      <w:r>
        <w:rPr>
          <w:b/>
        </w:rPr>
        <w:t>E. 23</w:t>
      </w:r>
    </w:p>
    <w:p>
      <w:r>
        <w:t>En deuxième lieu, les recourants font grief au département d’avoir violé le principe d'égalité de traitement en refusant leur projet alors même qu’il avait, après consultation de la CMNS, accepté l'isolation d'une annexe et son extension à la place d'un jardin (APA 4______), respectivement la construction d'un immeuble en zone 4B, impliquant la suppression définitive d'une grande surface de jardin correspondante (DD 5______), à une dizaine de mètres à peine de leur annexe.</w:t>
      </w:r>
    </w:p>
    <w:p>
      <w:r>
        <w:rPr>
          <w:b/>
        </w:rPr>
        <w:t>E. 24</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(ATF 146 II 56 consid. 9.1 ; 144 I 113 consid. 5.1.1 ; 143 I 361 consid. 5.1 ; 142 V 316 consid. 6.1.1 ; 142 I 195 consid. 6.1 et les références citées ; arrêts du Tribunal fédéral 2 C_555/2023 du 5 avril 2024 consid. 6.1 ; 1C_238/2023 du 27 novembre 2023 consid. 4.1 ; 1C_278/2022 du 27 juin 2023 consid. 5.1 ; 1C_497/2022 du 14 juin 2023 consid. 3.1). Les situations comparées ne doivent pas nécessairement être identiques en tous points, mais leur similitude doit être établie en ce qui concerne les éléments de fait pertinents pour la décision à prendre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 arrêts du Tribunal fédéral 1C_523/2019 du 1er avril 2021 consid. 2 ; 2C_713/2020 du 8 décembre 2020 consid. 2.3 ; 1C_12/2019 du 11 novembre 2019 consid. 2.1.1).</w:t>
      </w:r>
    </w:p>
    <w:p>
      <w:r>
        <w:t>- 15/18 - A/3401/2024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w:t>
      </w:r>
    </w:p>
    <w:p>
      <w:r>
        <w:rPr>
          <w:b/>
        </w:rPr>
        <w:t>E. 25</w:t>
      </w:r>
    </w:p>
    <w:p>
      <w:r>
        <w:t>Les recourants ne peuvent être suivis. En effet, les situations qu’ils comparent ne présentent pas une similitude suffisante pour justifier un traitement identique. L’APA 4______ portait sur l’agrandissement d’une dépendance de jardin non recensée, sans valeur patrimoniale, alors qu’en l’espèce, l’annexe projetée est destinée à remplacer un édifice recensé comme « intéressant » selon la fiche RAC- VYR-6034. Quant aux dossiers DD 9______ et DD 10_____, des dérogations sur la base de l’art. 106 LCI avaient été octroyées, à la suite d’un examen spécifique par la CMNS, laquelle avait reconnu, dans ces cas précis, cette possibilité. A l’inverse, en l’espèce, ni le SMS ni la CMNS n’ont considéré que les conditions d’une telle dérogation étaient réunies, estimant au contraire que le projet ne respectait pas le caractère du site, malgré la valeur patrimoniale résiduelle de l’édifice existant. Dès lors, ce grief doit également être écarté.</w:t>
      </w:r>
    </w:p>
    <w:p>
      <w:r>
        <w:rPr>
          <w:b/>
        </w:rPr>
        <w:t>E. 26</w:t>
      </w:r>
    </w:p>
    <w:p>
      <w:r>
        <w:t>En troisième lieu, les recourants font grief au département de violer le principe de la bonne foi. Le SMS ayant indiqué dans son préavis du 2 octobre 2012, qu'il était favorable à ce qu’ils procèdent à une modification du sens du faitage du toit de l'annexe, il ne pouvait pas se déclarer défavorable, quelques années plus tard, et encore moins en consacrant l'essentiel de sa motivation à l'importance de conserver des jardins non concernés par le projet.</w:t>
      </w:r>
    </w:p>
    <w:p>
      <w:r>
        <w:rPr>
          <w:b/>
        </w:rPr>
        <w:t>E. 27</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w:t>
      </w:r>
    </w:p>
    <w:p>
      <w:r>
        <w:rPr>
          <w:b/>
        </w:rPr>
        <w:t>E. 28</w:t>
      </w:r>
    </w:p>
    <w:p>
      <w:r>
        <w:t>En l’occurrence, pour que le principe de la bonne foi trouve à s’appliquer, encore faudrait-il que les recourants puissent se prévaloir d’une assurance concrète, émanant d’une autorité compétente, sur laquelle ils auraient pu légitimement fonder leur conduite, ce qui n’est pas le cas. En effet, le préavis favorable du SMS de 2012, dont ils se prévalent, a été rendu dans le cadre d’une autre autorisation de construire qui portait sur une intervention ponctuelle et limitée au faitage du toit de l'annexe, distincte, tant dans sa portée que dans ses effets, du projet litigieux, qui implique la démolition puis la reconstruction complète de l’annexe. En outre, cette prise de position datant de plus de 12 ans, les recourants ne sauraient raisonnablement l’interpréter comme une garantie, pour l’avenir, que toute modification future du sens du faitage du toit serait acceptée et ceci même dans le cadre d’un projet d’une ampleur substantiellement différente, comme en l’espèce. Il ne résulte enfin pas du dossier que le département aurait, durant la procédure actuelle, adopté une attitude de nature à induire en erreur les recourants sur l’issue de leur demande ou à les inciter à entreprendre des démarches qu’il aurait ensuite contrariées. Le fait de ne pas reprendre mot pour mot les termes du préavis du SMS, dans sa réponse au recours, ne constitue en particulier pas un comportement contradictoire du département. Ce faisant, ce dernier a au contraire développé sa propre argumentation et motivé sa décision de manière autonome, comme il en a le droit et le devoir. Il s’ensuit qu’aucune violation du principe de la bonne foi ne saurait être retenue.</w:t>
      </w:r>
    </w:p>
    <w:p>
      <w:r>
        <w:rPr>
          <w:b/>
        </w:rPr>
        <w:t>E. 29</w:t>
      </w:r>
    </w:p>
    <w:p>
      <w:r>
        <w:t>En définitive, les recourants entendent avant tout substituer leur propre appréciation à celle de l'autorité intimée. Le fait que le département a procédé à une analyse différente de la leur ne permet pas de retenir un abus ou un excès de son (large) pouvoir d'appréciation. Sa prise de décision, forgée sur la base des préavis défavorables de la CMNS et du SMS, ne prête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w:t>
      </w:r>
    </w:p>
    <w:p>
      <w:r>
        <w:t>- 17/18 - A/3401/2024 Par conséquent, le tribunal, qui doit faire preuve de retenue et respecter la latitude de jugement conférée à cette dernière, ne saurait en corriger le résultat en fonction d'une autre conception, même si celle-ci n'est pas dénuée de pertinence.</w:t>
      </w:r>
    </w:p>
    <w:p>
      <w:r>
        <w:rPr>
          <w:b/>
        </w:rPr>
        <w:t>E. 30</w:t>
      </w:r>
    </w:p>
    <w:p>
      <w:r>
        <w:t>En tous points mal fondé, le recours est rejeté.</w:t>
      </w:r>
    </w:p>
    <w:p>
      <w:r>
        <w:rPr>
          <w:b/>
        </w:rPr>
        <w:t>E. 31</w:t>
      </w:r>
    </w:p>
    <w:p>
      <w:r>
        <w:t>En application des art. 87 al. 1 LPA et 1 et 2 du règlement sur les frais, émoluments et indemnités en procédure administrative du 30 juillet 1986 (RFPA - E 5 10.03), les recourants sont condamnés au paiement d’un émolument s'élevant à CHF 900.- ; il est couvert par l’avance de frais versée à la suite du dépôt du recours. Vu l’issue du litige, aucune indemnité de procédure ne sera allouée (art. 87 al. 2 LPA).</w:t>
      </w:r>
    </w:p>
    <w:p>
      <w:r>
        <w:t>- 18/18 - A/3401/2024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