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JTAPI/673/2024 vom 3. Juli 2024</w:t>
      </w:r>
    </w:p>
    <w:p>
      <w:r>
        <w:t>GE Cour de justice, 2024-07-03, FR</w:t>
      </w:r>
    </w:p>
    <w:p>
      <w:r>
        <w:rPr>
          <w:b/>
        </w:rPr>
        <w:t xml:space="preserve">Quelle: </w:t>
      </w:r>
      <w:r>
        <w:t>https://mcp.opencaselaw.ch/entscheid/ge_gerichte_JTAPI_673_2024</w:t>
      </w:r>
    </w:p>
    <w:p>
      <w:r>
        <w:t>FR: GE_GERICHTE JTAPI/673/2024 du 3 juillet 2024</w:t>
      </w:r>
    </w:p>
    <w:p>
      <w:r>
        <w:t>IT: GE_GERICHTE JTAPI/673/2024 del 3 luglio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- 5/9 - A/3456/2023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5</w:t>
      </w:r>
    </w:p>
    <w:p>
      <w:r>
        <w:t>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w:t>
      </w:r>
    </w:p>
    <w:p>
      <w:r>
        <w:rPr>
          <w:b/>
        </w:rPr>
        <w:t>E. 7</w:t>
      </w:r>
    </w:p>
    <w:p>
      <w:r>
        <w:t>Conformément à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8</w:t>
      </w:r>
    </w:p>
    <w:p>
      <w:r>
        <w:t>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w:t>
      </w:r>
    </w:p>
    <w:p>
      <w:r>
        <w:rPr>
          <w:b/>
        </w:rPr>
        <w:t>E. 9</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10</w:t>
      </w:r>
    </w:p>
    <w:p>
      <w:r>
        <w:t>Pour déterminer la durée et s'il y a lieu de prononcer un retrait d'admonestation, la LCR distingue les infractions légères, moyennement graves et graves (art. 16a à 16e LCR).</w:t>
      </w:r>
    </w:p>
    <w:p>
      <w:r>
        <w:rPr>
          <w:b/>
        </w:rPr>
        <w:t>E. 11</w:t>
      </w:r>
    </w:p>
    <w:p>
      <w:r>
        <w:t>Selon l’art. 16c al. 1 LCR, commet une infraction grave la personne qui, en violant gravement les règles de la circulation met sérieusement en danger la sécurité d’autrui ou en prend le risque (let. a) ou qui conduit un véhicule automobile alors</w:t>
      </w:r>
    </w:p>
    <w:p>
      <w:r>
        <w:t>- 6/9 - A/3456/2023 que le permis de conduire lui a été retiré (let. f). En matière d’excès de vitesse, le Tribunal fédéral a maintes fois confirmé qu’un excès de vitesse de plus de 25 km/h ou plus à l’intérieur d’une localité devait être considéré comme une faute grave (arrêt 1C_210/2020 consid. 2.2 du 30 novembre 2020 et les références citées).</w:t>
      </w:r>
    </w:p>
    <w:p>
      <w:r>
        <w:rPr>
          <w:b/>
        </w:rPr>
        <w:t>E. 12</w:t>
      </w:r>
    </w:p>
    <w:p>
      <w:r>
        <w:t>L'art. 16c al. 2 let. d LCR prévoit qu'après une infraction grave,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rPr>
          <w:b/>
        </w:rPr>
        <w:t>E. 13</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(ATF 135 II 334 consid. 2.2 et les arrêts cités).</w:t>
      </w:r>
    </w:p>
    <w:p>
      <w:r>
        <w:rPr>
          <w:b/>
        </w:rPr>
        <w:t>E. 14</w:t>
      </w:r>
    </w:p>
    <w:p>
      <w:r>
        <w:t>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w:t>
      </w:r>
    </w:p>
    <w:p>
      <w:r>
        <w:rPr>
          <w:b/>
        </w:rPr>
        <w:t>E. 15</w:t>
      </w:r>
    </w:p>
    <w:p>
      <w:r>
        <w:t>La proximité temporelle d'un antécédent (généralement constitutif d'une récidive) est une circonstance aggravante (arrêts 1C_366/2011 consid. 3.5 ; 1C_293/2009 consid. 2.2).</w:t>
      </w:r>
    </w:p>
    <w:p>
      <w:r>
        <w:rPr>
          <w:b/>
        </w:rPr>
        <w:t>E. 16</w:t>
      </w:r>
    </w:p>
    <w:p>
      <w:r>
        <w:t>En l’espèce, le recourant, en effectuant un dépassement de vitesse de 30 km/h à l’intérieur d’une localité le 12 août 2021 et en conduisant alors qu’il se trouvait sous le coup d’une interdiction de conduire les 29 août 2022 et 9 août 2023, a réalisé trois infractions graves au sens de l’art. 16c al. 1 LCR, ce qu’il ne conteste pas, à juste titre. Dès lors que les deux premières infractions ont été commises dans les dix dernières années qui précédaient la dernière, l’OCV se devait de lui retirer son permis de conduire pour une durée indéterminée mais pour deux ans au minimum, conformément à l’art. 16c al. 2 let. d LCR. Conformément à la jurisprudence susvisée, il n’avait aucune possibilité de réduire la durée minimale du retrait prévue par la loi, son inaptitude caractérielle à la conduite étant irréfragablement présumée (ATF 141 II 220 consid. 3.2 ; ATF 139 II 95 consid. 3.4.1 et 3.4.2 ; arrêt 1C_535/2017 consid. 3 du 16 octobre 2017 ) et la durée du délai d’attente étant au surplus incompressible (ATF 132 II 234 consid. 2.3). À cet égard, il sera relevé que</w:t>
      </w:r>
    </w:p>
    <w:p>
      <w:r>
        <w:t>- 7/9 - A/3456/2023 ses allégations, non démontrées, quant aux circonstances qui l’auraient obligées à conduire malgré une interdiction le 9 août 2023, n’emporte aucunement conviction. Si une personne, dont l’identité est inconnue du tribunal, devait se rendre urgemment au chevet d’un parent mourant, dans des circonstances toutes aussi inconnues du tribunal, elle avait tout loisir d’utiliser les services d’un taxi sans que le recourant ne soit dans l’obligation de conduire lui-même. Partant, la durée du retrait prononcée ne prête pas flanc à la critique.</w:t>
      </w:r>
    </w:p>
    <w:p>
      <w:r>
        <w:rPr>
          <w:b/>
        </w:rPr>
        <w:t>E. 17</w:t>
      </w:r>
    </w:p>
    <w:p>
      <w:r>
        <w:t>S’agissant de l’obligation faite au recourant de présenter une expertise réalisée par un psychologue du trafic pour lever cette mesure, elle est tout aussi justifiée.</w:t>
      </w:r>
    </w:p>
    <w:p>
      <w:r>
        <w:rPr>
          <w:b/>
        </w:rPr>
        <w:t>E. 18</w:t>
      </w:r>
    </w:p>
    <w:p>
      <w:r>
        <w:t>Selon l’art. 17 al. 3 LCR, le permis de conduire retiré pour une durée indéterminée peut être restitué à certaines conditions après expiration d’un éventuel délai d’attente légal ou prescrit si la personne concernée peut prouver que son inaptitude à la conduite a disparu. C’est le conducteur qui a le fardeau de la preuve de son aptitude retrouvée à la conduite (arrêt 1C_519/2019 consid. 3 du 28 mai 2020).</w:t>
      </w:r>
    </w:p>
    <w:p>
      <w:r>
        <w:rPr>
          <w:b/>
        </w:rPr>
        <w:t>E. 19</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(art. 15d al. 2 LCR).</w:t>
      </w:r>
    </w:p>
    <w:p>
      <w:r>
        <w:rPr>
          <w:b/>
        </w:rPr>
        <w:t>E. 20</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w:t>
      </w:r>
    </w:p>
    <w:p>
      <w:r>
        <w:rPr>
          <w:b/>
        </w:rPr>
        <w:t>E. 21</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rPr>
          <w:b/>
        </w:rPr>
        <w:t>E. 22</w:t>
      </w:r>
    </w:p>
    <w:p>
      <w:r>
        <w:t>En l’espèce, l’obligation de se soumettre à une expertise est sur le principe conforme à l'art. 17 al. 3 LCR (arrêt du Tribunal fédéral 1C_153/2015 du 23 avril 2015 consid. 5 ; Cédric MIZEL, Droit et pratique illustrée du retrait du permis de</w:t>
      </w:r>
    </w:p>
    <w:p>
      <w:r>
        <w:t>- 8/9 - A/3456/2023 conduire, 2015, n. 78.5 p. 596 et la référence citée). Sous l'angle du principe de la proportionnalité, cette exigence est apte à atteindre le but qu'elle poursuit, à savoir de s'assurer que le recourant ne retourne dans la circulation routière qu'à condition qu'il soit démontré qu'il est apte à la conduite de véhicules à moteur. Aucune autre mesure moins incisive ne semble de nature à atteindre un tel but. Enfin, l'atteinte qu'elle porte aux intérêts privés du recourant se justifie au regard du but d'intérêt public qu'elle poursuit, étant relevé la gravité du comportement du recourant persistant à prendre le volant de sa voiture alors qu'il en a l'interdiction, étant rappelé qu’il a admis par-devant la police conduire régulièrement alors qu’il en a l’interdiction. Par son comportement et son absence de prise de conscience, le recourant fait sérieusement douter de son aptitude à mesurer les risques qu'il peut encourir pour lui-même et faire courir à autrui.</w:t>
      </w:r>
    </w:p>
    <w:p>
      <w:r>
        <w:rPr>
          <w:b/>
        </w:rPr>
        <w:t>E. 23</w:t>
      </w:r>
    </w:p>
    <w:p>
      <w:r>
        <w:t>Enfin, le recourant estime que la mesure administrative prononcée à son encontre, à laquelle s’ajouterait la future mesure pénale, lui ferait supporter une double sanction. Or, selon la jurisprudence constante du Tribunal fédéral, une même violation des règles de la circulation peut entraîner tant une sanction administrative que pénale sans violer le principe ne bis in idem (arrêt 1C_32/2015 du 18 juin 2015 consid. 5.2 et jurisprudence citée ; arrêt 2C_751/2014 du 23 février 2015 consid. 5.3; arrêt 1C_55/2014 du 9 janvier 2015 précité consid. 2.3 et jurisprudence citée ; ATF 128 II 133; 125 II 402).</w:t>
      </w:r>
    </w:p>
    <w:p>
      <w:r>
        <w:rPr>
          <w:b/>
        </w:rPr>
        <w:t>E. 24</w:t>
      </w:r>
    </w:p>
    <w:p>
      <w:r>
        <w:t>Au vu de ce qui précède, c’est à bon droit que l’autorité intimée a prononcé la décision querellée.</w:t>
      </w:r>
    </w:p>
    <w:p>
      <w:r>
        <w:rPr>
          <w:b/>
        </w:rPr>
        <w:t>E. 25</w:t>
      </w:r>
    </w:p>
    <w:p>
      <w:r>
        <w:t>Mal fondé, le recours est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w:t>
      </w:r>
    </w:p>
    <w:p>
      <w:r>
        <w:rPr>
          <w:b/>
        </w:rPr>
        <w:t>E. 27</w:t>
      </w:r>
    </w:p>
    <w:p>
      <w:r>
        <w:t>Vu l'issue du litige, aucune indemnité de procédure ne sera allouée (art. 87 al. 2 LPA).</w:t>
      </w:r>
    </w:p>
    <w:p>
      <w:r>
        <w:t>- 9/9 - A/3456/2023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