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JTAPI/669/2024 vom 2. Juli 2024</w:t>
      </w:r>
    </w:p>
    <w:p>
      <w:r>
        <w:t>GE Cour de justice, 2024-07-02, FR</w:t>
      </w:r>
    </w:p>
    <w:p>
      <w:r>
        <w:rPr>
          <w:b/>
        </w:rPr>
        <w:t xml:space="preserve">Quelle: </w:t>
      </w:r>
      <w:r>
        <w:t>https://mcp.opencaselaw.ch/entscheid/ge_gerichte_JTAPI_669_2024</w:t>
      </w:r>
    </w:p>
    <w:p>
      <w:r>
        <w:t>FR: GE_GERICHTE JTAPI/669/2024 du 2 juillet 2024</w:t>
      </w:r>
    </w:p>
    <w:p>
      <w:r>
        <w:t>IT: GE_GERICHTE JTAPI/669/2024 del 2 luglio 2024</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(ATA/1331/2023 du 12 décembre 2022 consid. 3).</w:t>
      </w:r>
    </w:p>
    <w:p>
      <w:r>
        <w:rPr>
          <w:b/>
        </w:rPr>
        <w:t>E. 5</w:t>
      </w:r>
    </w:p>
    <w:p>
      <w:r>
        <w:t>Est litigeux le refus de prolonger l’autorisation de séjour de la recourante.</w:t>
      </w:r>
    </w:p>
    <w:p>
      <w:r>
        <w:rPr>
          <w:b/>
        </w:rPr>
        <w:t>E. 6</w:t>
      </w:r>
    </w:p>
    <w:p>
      <w:r>
        <w:t>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de Colombie.</w:t>
      </w:r>
    </w:p>
    <w:p>
      <w:r>
        <w:rPr>
          <w:b/>
        </w:rPr>
        <w:t>E. 6.2</w:t>
      </w:r>
    </w:p>
    <w:p>
      <w:r>
        <w:t>; 2C_92/2023 du 5 mai 2023 consid. 6.2). De jurisprudence constante, le calcul de la période minimale de trois ans commence à courir dès le début de la cohabitation effective des époux en Suisse et s’achève au moment où ceux-ci cessent de faire ménage commun (ATF 140 II 345 consid. 4.1 ; arrêt du Tribunal fédéral 2C_431/2023 du 26 octobre 2023 consid. 6.2) ; peu importe combien de temps le mariage perdure encore formellement par la suite (ATF 136 II 113 consid. 3.2 et 3.3). La limite des trois ans est absolue et s’applique même s’il ne reste que quelques jours pour atteindre la durée des trente-six mois exigés par l’art. 50 al. 1 let. a LEI (ATF 137 II 345 consid. 3.1.3 ; arrêt du Tribunal fédéral 2C_1048/2022 du 22 mars 2023 consid. 4.2).</w:t>
      </w:r>
    </w:p>
    <w:p>
      <w:r>
        <w:rPr>
          <w:b/>
        </w:rPr>
        <w:t>E. 7</w:t>
      </w:r>
    </w:p>
    <w:p>
      <w:r>
        <w:t>Selon l’art. 42 al. 1 LEI, le conjoint d’un ressortissant suisse ainsi que ses enfants célibataires de moins de 18 ans ont droit à l’octroi d’une autorisation de séjour et à la prolongation de sa durée de validité à condition de vivre en ménage commun avec lui.</w:t>
      </w:r>
    </w:p>
    <w:p>
      <w:r>
        <w:rPr>
          <w:b/>
        </w:rPr>
        <w:t>E. 8</w:t>
      </w:r>
    </w:p>
    <w:p>
      <w:r>
        <w:t>En l’espèce, il est manifeste que la recourante ne peut plus déduire de droit de séjour fondé sur cette disposition, son mariage avec M. D______ ayant été dissous par jugement du ______ 2023.</w:t>
      </w:r>
    </w:p>
    <w:p>
      <w:r>
        <w:t>- 9/16 - A/3597/2023</w:t>
      </w:r>
    </w:p>
    <w:p>
      <w:r>
        <w:rPr>
          <w:b/>
        </w:rPr>
        <w:t>E. 9</w:t>
      </w:r>
    </w:p>
    <w:p>
      <w:r>
        <w:t>Aux termes de l’art. 50 al. 1 let. a LEI, après dissolution de la famille, le droit du conjoint et des enfants à l’octroi d’une autorisation de séjour et à la prolongation de sa durée de validité en vertu des art. 42 et 43 LEI subsiste si l’union conjugale a duré au moins trois ans et les critères d’intégration définis à l’art. 58a LEI sont remplis. Ces deux conditions sont cumulatives (cf. ATF 140 II 345 consid. 4 ; 136 II 113 consid. 3.3.3 ; arrêts du Tribunal fédéral 2C_63/2024 du 18 avril 2024 consid.</w:t>
      </w:r>
    </w:p>
    <w:p>
      <w:r>
        <w:rPr>
          <w:b/>
        </w:rPr>
        <w:t>E. 10</w:t>
      </w:r>
    </w:p>
    <w:p>
      <w:r>
        <w:t>En l’espèce, il n’est à juste titre pas contesté que l’union conjugale de la recourante a duré moins de trois ans, le mariage ayant été célébré le ______ 2018, M. D______ ayant exprimé sa volonté de se séparer au début de l’année 2020 et la vie commune ayant cessé à Noël 2020. Ainsi, dans la mesure où les deux conditions posées par l’art. 50 al. 1 let. a LEI sont cumulatives et que la première d’entre elles n’est pas remplie, il n’y a pas lieu d’examiner si l’intégration de la recourante est réussie.</w:t>
      </w:r>
    </w:p>
    <w:p>
      <w:r>
        <w:rPr>
          <w:b/>
        </w:rPr>
        <w:t>E. 11</w:t>
      </w:r>
    </w:p>
    <w:p>
      <w:r>
        <w:t>L’art. 50 al. 1 let. b et al. 2 LEI permet au conjoint étranger de demeurer en Suisse après la dissolution de l’union conjugale, lorsque la poursuite de son séjour s’impose pour des raisons personnelles majeures.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(art. 50 al. 2 LEI). Cette disposition vise à régler les situations qui échappent aux dispositions de l’art. 50 al. 1 let. a LEI,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LEI confère un droit à la poursuite du séjour en Suisse, contrairement à l’art. 30 al. 1 let. b LEI qui constitue la base pour les permis</w:t>
      </w:r>
    </w:p>
    <w:p>
      <w:r>
        <w:t>- 10/16 - A/3597/2023 de séjour pour cas de rigueur (ATF 138 II 393 consid. 3.1 ; arrêt du Tribunal fédéral 2C_364/2022 du 7 septembre 2023 consid. 2.3). L’art. 77 al. 2 OASA précise que les raisons personnelles majeures visées à l’art. 50 al. 1 let. b LEI, sont notamment données lorsque le conjoint est victime de violence conjugale ou lorsque le mariage a été conclu en violation de la libre volonté d’un des époux ou que la réintégration sociale dans le pays de provenance semble fortement compromise. L’énumération de ces cas n’est pas exhaustive et laisse aux autorités une certaine liberté d’appréciation fondée sur des motifs humanitaires (ATF 136 II 1 consid. 5.3).</w:t>
      </w:r>
    </w:p>
    <w:p>
      <w:r>
        <w:rPr>
          <w:b/>
        </w:rPr>
        <w:t>E. 12</w:t>
      </w:r>
    </w:p>
    <w:p>
      <w:r>
        <w:t>Si la violence conjugale est invoquée, les autorités compétentes peuvent demander des preuves. Sont notamment considérés comme indices de violence conjugale : a) les certificats médicaux, b) les rapports de police, c) les plaintes pénales, d) les mesures au sens de l’art. 28b du Code civil suisse du 10 décembre 1907 (CC - RS 210) et e) les jugements pénaux prononcés à ce sujet (art. 77 al. 5 et 6 OASA). Les autorités compétentes tiennent aussi compte des indications et des renseignements fournis par des services spécialisés (art. 77 al. 6bis OASA).</w:t>
      </w:r>
    </w:p>
    <w:p>
      <w:r>
        <w:rPr>
          <w:b/>
        </w:rPr>
        <w:t>E. 13</w:t>
      </w:r>
    </w:p>
    <w:p>
      <w:r>
        <w:t>L’octroi d’un droit de séjour en faveur de victimes de violences conjugales a pour but d’empêcher qu’une personne faisant l’objet de violences conjugales poursuive la communauté conjugale pour des motifs liés uniquement au droit des migrations, quand bien même le maintien de celle-ci n’est objectivement plus tolérable de sa part, dès lors que la vie commune met sérieusement en péril sa santé physique ou psychique (ATF 138 II 229 consid. 3.1 et 3.2 ; arrêts du Tribunal fédéral 2C_956/ 2013 du 11 avril 2014 consid. 3.1 ; 2C_784/2013 du 11 février 2014 consid. 4.1). Lorsqu’une séparation se produit dans une telle constellation, le droit de séjour qui était originairement dérivé de la relation conjugale se transforme en un droit de séjour propre. Sur la base de la ratio legis susmentionnée, il y a lieu de conditionner la présence d’un cas de rigueur suite à la dissolution de la famille pour violence conjugale à l’existence d’un rapport étroit entre la violence conjugale et la séparation du couple. Ce rapport n’est toutefois pas exclu du simple fait que l’initiative de la séparation n’a pas été prise par la personne qui prétend avoir fait l’objet de violence conjugale mais par son conjoint (arrêt du Tribunal fédéral 2C_915/2019 du 13 mars 2020 consid. 3.2) et une analyse du cas concret doit avoir lieu dans chaque affaire.</w:t>
      </w:r>
    </w:p>
    <w:p>
      <w:r>
        <w:rPr>
          <w:b/>
        </w:rPr>
        <w:t>E. 14</w:t>
      </w:r>
    </w:p>
    <w:p>
      <w:r>
        <w:t>Selon la jurisprudence, il convient de prendre au sérieux toute forme de violence conjugale, qu’elle soit physique ou psychique. La violence conjugale doit toutefois revêtir une certaine intensité. Elle constitue une maltraitance systématique ayant pour but d’exercer pouvoir et contrôle sur celui qui la subit (ATF 138 II 229 consid. 3.2.1). À l’instar de violences physiques, seuls des actes de violence psychique d’une intensité particulière peuvent justifier l’application de l’art. 50 al. 1 let. b LEI (ATF 138 II 229 consid. 3.2 ; arrêts du Tribunal fédéral 2C_47/2023 du 31 mars</w:t>
      </w:r>
    </w:p>
    <w:p>
      <w:r>
        <w:t>- 11/16 - A/3597/2023 2023 consid. 3.4.). Des affirmations d’ordre général ou des indices faisant état de tensions ponctuelles sont insuffisants (ATF 138 II 229 consid. 3.2.3 ; arrêt du Tribunal fédéral 2C_681/2021 du 26 janvier 2022 consid. 5.1). La personne étrangère qui soutient, en relation avec l’art. 50 al. 1 let. b et al. 2 LEI, avoir été victime de violences conjugales est soumise à un devoir de coopération accru. Il lui appartient de rendre vraisemblable, par des moyens appropriés, la violence conjugale, respectivement l’oppression domestique alléguée. En particulier, il lui incombe d’illustrer de façon concrète et objective, ainsi que d’établir par preuves le caractère systématique de la maltraitance, respectivement sa durée, ainsi que les pressions subjectives qui en résultent (art. 77 al. 6 et al. 6bis OASA ; arrêts du Tribunal fédéral 2C_49/2021 du 29 mars 2022 consid. 5.3). L’art. 50 al. 2 LEI n’exige toutefois pas la preuve stricte de la maltraitance, mais se contente d’un faisceau d’indices suffisants (arrêts du Tribunal fédéral 2C_593/2019 du 11 juillet 2019 consid. 5.2 ; 2C_196/2014 du 19 mai 2014 consid. 3.4) respectivement d’un degré de vraisemblance, sur la base d’une appréciation globale de tous les éléments en présence (ATF 142 I 152 consid. 6.2 ; arrêt du Tribunal fédéral 2C_671/2017 du 29 mars 2018 consid. 2.3). Ainsi, selon le degré de preuve de la vraisemblance, il suffit que l’autorité estime comme plus probable la réalisation des faits allégués que la thèse contraire (ATA/1333/2021 du 7 décembre 2021 consid. 7f).</w:t>
      </w:r>
    </w:p>
    <w:p>
      <w:r>
        <w:rPr>
          <w:b/>
        </w:rPr>
        <w:t>E. 15</w:t>
      </w:r>
    </w:p>
    <w:p>
      <w:r>
        <w:t>Une raison personnelle majeure susceptible de justifier l’octroi ou le renouvellement d’une autorisation de séjour peut également résulter d’autres circonstances. Ainsi, les critères énumérés à l’art. 31 al. 1 OASA jouent à cet égard un rôle important, même si, pris isolément, ils ne sauraient fonder un cas individuel d’une extrême gravité. Cette disposition comprend une liste exemplative de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présence en Suisse et l’état de santé. Il convient en outre de tenir compte des circonstances qui ont conduit à la dissolution du mariage (ATF 137 II 1 consid. 4.1 ; voir également ATF 137 II 345 consid. 3.2.1 au sujet des différences avec les conditions d’application de l’art. 30 al. 1 let. b LEI et consid. 3.2.2 et 3.2.3 sur la notion de « raisons personnelles majeures »). Parmi les éléments déterminants, il convient de citer la très longue durée du séjour en Suisse, une intégration sociale particulièrement poussée, une réussite professionnelle remarquable, l’intéressé possédant des connaissances profession- 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w:t>
      </w:r>
    </w:p>
    <w:p>
      <w:r>
        <w:t>- 12/16 - A/3597/2023 conservés avec le pays d’origine, par exemple sur le plan familial, susceptibles de faciliter sa réintégration (arrêt du Tribunal fédéral 2A.543/2001 du 25 avril 2002 consid. 5.2 ; arrêt du Tribunal administratif fédéral F-4206/2021 du 24 novembre 2022 consid. 5.4). S’agissant de la réintégration sociale dans le pays de provenance, la question n’est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(cf. ATF 138 II 229 consid. 3.1 ; arrêt du Tribunal fédéral 2C_112/2020 du 9 juin 2020 consid. 5.1). Le simple fait que l’étranger doive retrouver des conditions de vie qui sont usuelles dans son pays de provenance ne constitue pas une raison personnelle majeure au sens de l’art. 50 LEI, même si ces conditions de vie sont moins avantageuses que celles dont cette personne bénéficie en Suisse (arrêt du Tribunal fédéral 2C_112/2020 du 9 juin 2020 consid. 5.1 et les références). Par ailleurs, la personne qui fait valoir que sa réintégration sociale risque d’être fortement compromise en cas de retour dans son pays est tenue de collaborer à l’établissement des faits. De simples déclarations d’ordre général ne suffisent pas ; les craintes doivent se fonder sur des circonstances concrètes (ATF 138 II 229 consid. 3.2.3). La question de l’intégration de la personne concernée en Suisse n’est pas déterminante au regard des conditions de l’art. 50 al. 1 let. b LEI, qui ne s’attache qu’à l’intégration - qui doit être fortement compromise - qui aura lieu dans le pays d’origine (cf. arrêts du Tribunal fédéral 2C_145/2019 du 24 juin 2019 consid. 3.7 et les arrêts cités ; 2C_1003/2015 du 7 janvier 2016 consid. 4.4).</w:t>
      </w:r>
    </w:p>
    <w:p>
      <w:r>
        <w:rPr>
          <w:b/>
        </w:rPr>
        <w:t>E. 16</w:t>
      </w:r>
    </w:p>
    <w:p>
      <w:r>
        <w:t>La recourante soutient que la poursuite de son séjour en Suisse se justifie au motif qu’elle aurait été victime de violences conjugales.</w:t>
      </w:r>
    </w:p>
    <w:p>
      <w:r>
        <w:rPr>
          <w:b/>
        </w:rPr>
        <w:t>E. 17</w:t>
      </w:r>
    </w:p>
    <w:p>
      <w:r>
        <w:t>En l’espèce, force est pour le tribunal de constater qu’il n’existe aucune preuve matérielle des violences domestiques alléguées, hormis le rapport médical du 19 février 2021 qui ne fait au demeurant que reprendre les dires de la recourante et pour lequel elle a été condamnée pour calomnie ; il n’emporte donc nullement la conviction du tribunal et ne peut fonder l’existence de violences domestiques. De plus, les diverses plaintes de la recourante ont été écartées par la justice pénale, dont l’indépendance et l’impartialité n’est pas à mettre en doute, tandis qu’elle a été condamnée pour avoir porté atteinte à l’intégrité physique de M. D______. Au vu de ces éléments, rien ne permet de conclure à l’existence de violences domestiques de la part de M. D______, lequel en a plutôt été la victime. Au surplus, aucun élément ne permet de démontrer que la réintégration sociale de la recourante dans son pays d’origine serait fortement compromise. En effet, la Colombie est le pays dans lequel elle a vécu son enfance, son adolescence ainsi que le début de sa vie d’adulte. Elle y connaît les us et les coutumes. Des membres de</w:t>
      </w:r>
    </w:p>
    <w:p>
      <w:r>
        <w:t>- 13/16 - A/3597/2023 sa famille, avec qui elle a gardé des contacts, vivent également dans ce pays. Le fait qu’elle n’y retrouvera sans doute pas le même niveau de vie que celui dont elle bénéficie actuellement en Suisse n’est pas pertinent au regard des critères rappelés ci-dessus. Enfin, la recourante n’a pas démontré qu’elle se serait créé des attaches profondes avec la Suisse ni qu’elle aurait des problèmes de santé sérieux, l’empêchant de retourner dans son pays d’origine. Au surplus, elle a été condamnée à diverses reprises par la justice pénale et il ne peut être retenu que son intégration socio-économique en Suisse soit exceptionnelle. Compte tenu de ce qui précède, les conditions posées par l’art. 50 al. 1 let. b LEI ne sont en l’espèce pas remplies.</w:t>
      </w:r>
    </w:p>
    <w:p>
      <w:r>
        <w:rPr>
          <w:b/>
        </w:rPr>
        <w:t>E. 18</w:t>
      </w:r>
    </w:p>
    <w:p>
      <w:r>
        <w:t>Enfin et pour les mêmes motifs, on ne saurait non plus parvenir à la conclusion que la recourante se trouverait dans un cas individuel d’une extrême gravité au sens de l’art. 30 al. 1 let. b LEI et 31 OASA (cf. arrêts du Tribunal administratif fédéral C- 6778/2011 du 13 janvier 2014 consid. 10.4 ; C-6133/2008 du 15 juillet 2011 consid. 8.3), qu’il ne peut de toute façon pas invoquer, du fait qu’il a déjà été exempté des mesures de limitation suite à son mariage (cf. ATA/81/2018 du 30 janvier 2018).</w:t>
      </w:r>
    </w:p>
    <w:p>
      <w:r>
        <w:rPr>
          <w:b/>
        </w:rPr>
        <w:t>E. 19</w:t>
      </w:r>
    </w:p>
    <w:p>
      <w:r>
        <w:t>Se pose enfin la question de savoir si la fille de la recourante se trouve dans un cas de rigueur, étant rappelé que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w:t>
      </w:r>
    </w:p>
    <w:p>
      <w:r>
        <w:rPr>
          <w:b/>
        </w:rPr>
        <w:t>E. 20</w:t>
      </w:r>
    </w:p>
    <w:p>
      <w:r>
        <w:t>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L’adolescence - période comprise entre 12 et 16 ans (ATF 123 II 125 consid. 4b ; ATA/329/2022 du 29 mars 2022 consid. 8a) - est en effet une période essentielle du développement personnel, scolaire et profes- sionnel, entraînant une intégration accrue dans un milieu déterminé. Un soudain déplacement du centre de vie peut constituer un véritable déracinement et s’accompagner de grandes difficultés d’intégration. Un retour dans la patrie peut donc, en particulier, représenter une rigueur excessive pour des adolescents ayant</w:t>
      </w:r>
    </w:p>
    <w:p>
      <w:r>
        <w:t>- 14/16 - A/3597/2023 suivi l’école durant plusieurs années et achevé leur scolarité avec de bons résultats (arrêt du Tribunal administratif fédéral F-1700/2022 du 11 janvier 2024 consid. 7.5). Sous l’angle du cas de rigueur, il est considéré que cette pratique différenciée réalise la prise en compte de l’intérêt supérieur de l’enfant, telle qu’elle est prescrite par l’art. 3 al. 1 par. 1 de la Convention relative aux droits de l’enfant, conclue à New York le 20 novembre 1989, approuvée par l’Assemblée fédérale le 13 décembre 1996. Instrument de ratification déposé par la Suisse le 24 février 1997 (CDE - RS 0.107 ; ATF 135 I 153 consid. 2.2.2 ; arrêt du Tribunal administratif fédéral F-6053/ 2017 du 13 février 2020 consid. 8.2.1). Les dispositions de la CDE, qui ne posent que des principes dont les autorités législatives, exécutives et judiciaires des États parties doivent s’inspirer, ne font d’ailleurs pas de l’intérêt de l’enfant un critère exclusif, mais un élément d’appréciation dont l’autorité doit tenir compte lorsqu’il s’agit de mettre en balance les différents intérêts en présence, de sorte qu’aucune prétention directe à l’octroi d’une autorisation de droit des étrangers ne peut en être déduite (ATF 144 I 91 consid. 5.1 ; arrêts du Tribunal fédéral 2C_241/2023 du 17 mai 2023 consid. 4.2.3 ; 2C_544/2022 du 11 juillet 2022 consid. 4.3).</w:t>
      </w:r>
    </w:p>
    <w:p>
      <w:r>
        <w:rPr>
          <w:b/>
        </w:rPr>
        <w:t>E. 21</w:t>
      </w:r>
    </w:p>
    <w:p>
      <w:r>
        <w:t>En l’occurrence, âgée de presque six ans à son arrivée en Suisse et désormais âgée de presque douze ans, la fille de la recourante n’est pas encore entrée dans l’adolescence. Bien que scolarisée depuis sa venue à Genève, vu la capacité d’adaptation des jeunes enfants, il apparaît qu’un déménagement dans son pays d’origine, dont elle parle vraisemblablement la langue, en compagnie de sa mère qui s’occupe d’elle depuis sa naissance, ne représenterait pas un obstacle insurmontable pour cet enfant. Sa situation ne constitue dès lors pas un cas de rigueur.</w:t>
      </w:r>
    </w:p>
    <w:p>
      <w:r>
        <w:rPr>
          <w:b/>
        </w:rPr>
        <w:t>E. 22</w:t>
      </w:r>
    </w:p>
    <w:p>
      <w:r>
        <w:t>Dans ces conditions, il apparaît que la décision de l’OCPM est conforme au droit en vigueur.</w:t>
      </w:r>
    </w:p>
    <w:p>
      <w:r>
        <w:rPr>
          <w:b/>
        </w:rPr>
        <w:t>E. 23</w:t>
      </w:r>
    </w:p>
    <w:p>
      <w:r>
        <w:t>Aux termes de l’art. 64 al. 1 LEI, l’autorité rend une décision de renvoi ordinaire à l’encontre d’un étranger qui n’a pas d’autorisation alors qu’il y est tenu (let. a), d’un étranger qui ne remplit pas ou ne remplit plus les conditions d’entrée en Suisse (let. b) et d’un étranger auquel une autorisation est refusée ou dont l’autorisation, bien que requise, est révoquée ou n’est pas prolongée après un séjour autorisé (let. c). Elle ne dispose à ce titre d’aucun pouvoir d’appréciation, le renvoi constituant la conséquence logique et inéluctable du rejet d’une demande d’autorisation (arrêt du Tribunal administratif fédéral C-4183/2011 du 16 janvier 2012 consid. 3.1 ; ATA/ 122/2023 du 7 février 2023 consid. 8a).</w:t>
      </w:r>
    </w:p>
    <w:p>
      <w:r>
        <w:rPr>
          <w:b/>
        </w:rPr>
        <w:t>E. 24</w:t>
      </w:r>
    </w:p>
    <w:p>
      <w:r>
        <w:t>En l’espèce, dans la mesure où les recourantes sont dépourvues à ce jour de titre de séjour valable en Suisse, l’OCPM n’avait d’autre choix que de prononcer son renvoi en application de l’art. 64 al. 1 let. c LEI.</w:t>
      </w:r>
    </w:p>
    <w:p>
      <w:r>
        <w:rPr>
          <w:b/>
        </w:rPr>
        <w:t>E. 25</w:t>
      </w:r>
    </w:p>
    <w:p>
      <w:r>
        <w:t>Mal fondé, le recours sera rejeté.</w:t>
      </w:r>
    </w:p>
    <w:p>
      <w:r>
        <w:t>- 15/16 - A/3597/2023</w:t>
      </w:r>
    </w:p>
    <w:p>
      <w:r>
        <w:rPr>
          <w:b/>
        </w:rPr>
        <w:t>E. 26</w:t>
      </w:r>
    </w:p>
    <w:p>
      <w:r>
        <w:t>En application des art. 87 al. 1 LPA et 1 et 2 du règlement sur les frais, émoluments et indemnités en procédure administrative du 30 juillet 1986 (RFPA - E 5 10.03), la recourante, qui succombe, est condamnée au paiement d’un émolument s’élevant à CHF 500.- ; il est couvert par l’avance de frais versée à la suite du dépôt du recours. Vu l’issue du litige, aucune indemnité de procédure ne sera allouée (art. 87 al. 2 LPA).</w:t>
      </w:r>
    </w:p>
    <w:p>
      <w:r>
        <w:rPr>
          <w:b/>
        </w:rPr>
        <w:t>E. 27</w:t>
      </w:r>
    </w:p>
    <w:p>
      <w:r>
        <w:t>En vertu des art. 89 al. 2 et 111 al. 2 de la loi sur le Tribunal fédéral du 17 juin 2005 (LTF - RS 173.110), le présent jugement sera communiqué au secrétariat d’État aux migrations.</w:t>
      </w:r>
    </w:p>
    <w:p>
      <w:r>
        <w:t>- 16/16 - A/3597/2023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